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0"/>
        <w:ind w:hanging="0" w:start="0" w:end="23"/>
        <w:jc w:val="center"/>
        <w:rPr>
          <w:rFonts w:ascii="Times New Roman" w:hAnsi="Times New Roman" w:cs="Times New Roman"/>
          <w:b/>
          <w:color w:val="002E5D"/>
          <w:sz w:val="32"/>
        </w:rPr>
      </w:pPr>
      <w:r>
        <w:rPr>
          <w:rFonts w:cs="Times New Roman" w:ascii="Times New Roman" w:hAnsi="Times New Roman"/>
          <w:b/>
          <w:color w:val="002E5D"/>
          <w:sz w:val="32"/>
        </w:rPr>
        <w:drawing>
          <wp:anchor distT="0" distB="0" distL="0" distR="0" simplePos="0" relativeHeight="3" behindDoc="0" locked="0" layoutInCell="0" allowOverlap="1">
            <wp:simplePos x="0" y="0"/>
            <wp:positionH relativeFrom="column">
              <wp:posOffset>2829560</wp:posOffset>
            </wp:positionH>
            <wp:positionV relativeFrom="paragraph">
              <wp:posOffset>635</wp:posOffset>
            </wp:positionV>
            <wp:extent cx="537845" cy="867410"/>
            <wp:effectExtent l="0" t="0" r="0" b="0"/>
            <wp:wrapTopAndBottom/>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2"/>
                    <a:stretch>
                      <a:fillRect/>
                    </a:stretch>
                  </pic:blipFill>
                  <pic:spPr bwMode="auto">
                    <a:xfrm>
                      <a:off x="0" y="0"/>
                      <a:ext cx="537845" cy="867410"/>
                    </a:xfrm>
                    <a:prstGeom prst="rect">
                      <a:avLst/>
                    </a:prstGeom>
                    <a:noFill/>
                  </pic:spPr>
                </pic:pic>
              </a:graphicData>
            </a:graphic>
          </wp:anchor>
        </w:drawing>
      </w:r>
    </w:p>
    <w:p>
      <w:pPr>
        <w:pStyle w:val="Normal"/>
        <w:spacing w:lineRule="auto" w:line="259" w:before="0" w:after="0"/>
        <w:ind w:hanging="0" w:start="0" w:end="23"/>
        <w:jc w:val="center"/>
        <w:rPr/>
      </w:pPr>
      <w:r>
        <w:rPr>
          <w:rFonts w:cs="Times New Roman" w:ascii="Times New Roman" w:hAnsi="Times New Roman"/>
          <w:b/>
          <w:color w:val="002E5D"/>
          <w:sz w:val="32"/>
        </w:rPr>
        <w:t xml:space="preserve">  </w:t>
      </w:r>
      <w:r>
        <w:rPr>
          <w:rFonts w:cs="Times New Roman" w:ascii="Times New Roman" w:hAnsi="Times New Roman"/>
          <w:b/>
          <w:color w:val="002E5D"/>
          <w:sz w:val="32"/>
        </w:rPr>
        <w:t>CITTÀ DI TRAPANI</w:t>
      </w:r>
    </w:p>
    <w:p>
      <w:pPr>
        <w:pStyle w:val="Normal"/>
        <w:spacing w:lineRule="auto" w:line="259" w:before="0" w:after="172"/>
        <w:ind w:hanging="0" w:start="0" w:end="10"/>
        <w:jc w:val="center"/>
        <w:rPr>
          <w:rFonts w:ascii="Times New Roman" w:hAnsi="Times New Roman" w:cs="Times New Roman"/>
        </w:rPr>
      </w:pPr>
      <w:r>
        <w:rPr>
          <w:rFonts w:cs="Times New Roman" w:ascii="Times New Roman" w:hAnsi="Times New Roman"/>
          <w:i/>
          <w:color w:val="666666"/>
          <w:sz w:val="20"/>
        </w:rPr>
        <w:t>(Medaglia d'Oro al Valor Civile)</w:t>
      </w:r>
    </w:p>
    <w:p>
      <w:pPr>
        <w:pStyle w:val="Heading1"/>
        <w:numPr>
          <w:ilvl w:val="0"/>
          <w:numId w:val="4"/>
        </w:numPr>
        <w:spacing w:before="0" w:after="89"/>
        <w:ind w:hanging="141" w:start="141" w:end="11"/>
        <w:rPr>
          <w:rFonts w:ascii="Times New Roman" w:hAnsi="Times New Roman" w:cs="Times New Roman"/>
          <w:szCs w:val="28"/>
        </w:rPr>
      </w:pPr>
      <w:r>
        <w:rPr>
          <w:rFonts w:cs="Times New Roman" w:ascii="Times New Roman" w:hAnsi="Times New Roman"/>
          <w:szCs w:val="28"/>
        </w:rPr>
        <w:t>SETTORE - UFFICIO SERVIZI LEGALI</w:t>
      </w:r>
    </w:p>
    <w:p>
      <w:pPr>
        <w:pStyle w:val="Normal"/>
        <w:spacing w:lineRule="auto" w:line="259" w:before="0" w:after="462"/>
        <w:ind w:hanging="0" w:start="0" w:end="0"/>
        <w:jc w:val="start"/>
        <w:rPr>
          <w:rFonts w:ascii="Times New Roman" w:hAnsi="Times New Roman" w:cs="Times New Roman"/>
        </w:rPr>
      </w:pPr>
      <w:r>
        <w:rPr/>
        <mc:AlternateContent>
          <mc:Choice Requires="wpg">
            <w:drawing>
              <wp:inline distT="0" distB="0" distL="0" distR="0" wp14:anchorId="59B2E4CA">
                <wp:extent cx="6486525" cy="25400"/>
                <wp:effectExtent l="0" t="0" r="0" b="0"/>
                <wp:docPr id="2" name="Forma1"/>
                <a:graphic xmlns:a="http://schemas.openxmlformats.org/drawingml/2006/main">
                  <a:graphicData uri="http://schemas.microsoft.com/office/word/2010/wordprocessingGroup">
                    <wpg:wgp>
                      <wpg:cNvGrpSpPr/>
                      <wpg:grpSpPr>
                        <a:xfrm>
                          <a:off x="0" y="0"/>
                          <a:ext cx="6486480" cy="25560"/>
                          <a:chOff x="0" y="0"/>
                          <a:chExt cx="6486480" cy="25560"/>
                        </a:xfrm>
                      </wpg:grpSpPr>
                      <wps:wsp>
                        <wps:cNvPr id="3" name=""/>
                        <wps:cNvSpPr/>
                        <wps:spPr>
                          <a:xfrm>
                            <a:off x="0" y="0"/>
                            <a:ext cx="6486480" cy="25560"/>
                          </a:xfrm>
                          <a:custGeom>
                            <a:avLst/>
                            <a:gdLst>
                              <a:gd name="textAreaLeft" fmla="*/ 0 w 3677400"/>
                              <a:gd name="textAreaRight" fmla="*/ 3677760 w 3677400"/>
                              <a:gd name="textAreaTop" fmla="*/ 0 h 14400"/>
                              <a:gd name="textAreaBottom" fmla="*/ 14760 h 14400"/>
                            </a:gdLst>
                            <a:ahLst/>
                            <a:cxnLst/>
                            <a:rect l="textAreaLeft" t="textAreaTop" r="textAreaRight" b="textAreaBottom"/>
                            <a:pathLst>
                              <a:path w="6480000" h="19050">
                                <a:moveTo>
                                  <a:pt x="0" y="0"/>
                                </a:moveTo>
                                <a:lnTo>
                                  <a:pt x="6480000" y="0"/>
                                </a:lnTo>
                                <a:lnTo>
                                  <a:pt x="6480000" y="19050"/>
                                </a:lnTo>
                                <a:lnTo>
                                  <a:pt x="0" y="19050"/>
                                </a:lnTo>
                                <a:lnTo>
                                  <a:pt x="0" y="0"/>
                                </a:lnTo>
                              </a:path>
                            </a:pathLst>
                          </a:custGeom>
                          <a:solidFill>
                            <a:srgbClr val="002e5d"/>
                          </a:solidFill>
                          <a:ln w="0">
                            <a:noFill/>
                          </a:ln>
                        </wps:spPr>
                        <wps:style>
                          <a:lnRef idx="0"/>
                          <a:fillRef idx="0"/>
                          <a:effectRef idx="0"/>
                          <a:fontRef idx="minor"/>
                        </wps:style>
                        <wps:bodyPr/>
                      </wps:wsp>
                    </wpg:wgp>
                  </a:graphicData>
                </a:graphic>
              </wp:inline>
            </w:drawing>
          </mc:Choice>
          <mc:Fallback>
            <w:pict>
              <v:group id="shape_0" alt="Forma1" style="position:absolute;margin-left:0pt;margin-top:-2.05pt;width:510.75pt;height:2pt" coordorigin="0,-41" coordsize="10215,40"/>
            </w:pict>
          </mc:Fallback>
        </mc:AlternateContent>
      </w:r>
    </w:p>
    <w:p>
      <w:pPr>
        <w:pStyle w:val="Heading1"/>
        <w:numPr>
          <w:ilvl w:val="0"/>
          <w:numId w:val="0"/>
        </w:numPr>
        <w:ind w:hanging="10" w:start="10" w:end="11"/>
        <w:rPr>
          <w:rFonts w:ascii="Times New Roman" w:hAnsi="Times New Roman" w:cs="Times New Roman"/>
        </w:rPr>
      </w:pPr>
      <w:r>
        <w:rPr>
          <w:rFonts w:cs="Times New Roman" w:ascii="Times New Roman" w:hAnsi="Times New Roman"/>
        </w:rPr>
        <w:t>AVVISO PUBBLICO DI</w:t>
      </w:r>
    </w:p>
    <w:p>
      <w:pPr>
        <w:pStyle w:val="Heading1"/>
        <w:numPr>
          <w:ilvl w:val="0"/>
          <w:numId w:val="0"/>
        </w:numPr>
        <w:ind w:hanging="10" w:start="10" w:end="11"/>
        <w:rPr>
          <w:rFonts w:ascii="Times New Roman" w:hAnsi="Times New Roman" w:cs="Times New Roman"/>
        </w:rPr>
      </w:pPr>
      <w:r>
        <w:rPr>
          <w:rFonts w:cs="Times New Roman" w:ascii="Times New Roman" w:hAnsi="Times New Roman"/>
        </w:rPr>
        <w:t>MANIFESTAZIONE DI INTERESSE</w:t>
      </w:r>
    </w:p>
    <w:p>
      <w:pPr>
        <w:pStyle w:val="Heading1"/>
        <w:numPr>
          <w:ilvl w:val="0"/>
          <w:numId w:val="0"/>
        </w:numPr>
        <w:ind w:hanging="10" w:start="10" w:end="11"/>
        <w:rPr>
          <w:rFonts w:ascii="Times New Roman" w:hAnsi="Times New Roman" w:cs="Times New Roman"/>
        </w:rPr>
      </w:pPr>
      <w:r>
        <w:rPr>
          <w:rFonts w:cs="Times New Roman" w:ascii="Times New Roman" w:hAnsi="Times New Roman"/>
        </w:rPr>
      </w:r>
    </w:p>
    <w:p>
      <w:pPr>
        <w:pStyle w:val="Normal"/>
        <w:spacing w:lineRule="auto" w:line="259" w:before="0" w:after="14"/>
        <w:ind w:hanging="10" w:start="10" w:end="0"/>
        <w:rPr/>
      </w:pPr>
      <w:r>
        <w:rPr>
          <w:rFonts w:cs="Times New Roman" w:ascii="Times New Roman" w:hAnsi="Times New Roman"/>
          <w:b/>
          <w:sz w:val="24"/>
        </w:rPr>
        <w:t xml:space="preserve">PER L'ISTITUZIONE DI UN ALBO COMUNALE (SHORT LIST) </w:t>
      </w:r>
      <w:bookmarkStart w:id="0" w:name="__DdeLink__34539_411404092"/>
      <w:r>
        <w:rPr>
          <w:rFonts w:cs="Times New Roman" w:ascii="Times New Roman" w:hAnsi="Times New Roman"/>
          <w:b/>
        </w:rPr>
        <w:t xml:space="preserve">DI LEGALI ESTERNI PER L’AFFIDAMENTO DA PARTE DEL COMUNE DI TRAPANI DEGLI INCARICHI PER LA RAPPRESENTANZA IN GIUDIZIO E LA DIFESA DELL’ENTE NEI PROCEDIMENTI E NELLE CONTROVERSIE DI NATURA </w:t>
      </w:r>
      <w:r>
        <w:rPr>
          <w:rFonts w:cs="Times New Roman" w:ascii="Times New Roman" w:hAnsi="Times New Roman"/>
          <w:b/>
          <w:bCs/>
          <w:spacing w:val="-2"/>
          <w:szCs w:val="22"/>
        </w:rPr>
        <w:t>CIVILE, PENALE, AMMINISTRATIVA, LAVORISTICA E TRIBUTARIA, NEI QUALI L’ENTE SIA PARTE, NONCHE’ PER L’EVENTUALE RICHIESTA DI PARERI E CONSULENZA LEGALI CONNESSI ALLE PREDETTE MATERIE</w:t>
      </w:r>
      <w:bookmarkEnd w:id="0"/>
      <w:r>
        <w:rPr>
          <w:rFonts w:cs="Times New Roman" w:ascii="Times New Roman" w:hAnsi="Times New Roman"/>
          <w:b/>
          <w:bCs/>
          <w:spacing w:val="-2"/>
          <w:szCs w:val="22"/>
        </w:rPr>
        <w:t>.</w:t>
      </w:r>
    </w:p>
    <w:p>
      <w:pPr>
        <w:pStyle w:val="Normal"/>
        <w:spacing w:lineRule="auto" w:line="259" w:before="0" w:after="14"/>
        <w:ind w:hanging="10" w:start="10" w:end="0"/>
        <w:rPr>
          <w:rFonts w:ascii="Times New Roman" w:hAnsi="Times New Roman" w:cs="Times New Roman"/>
        </w:rPr>
      </w:pPr>
      <w:r>
        <w:rPr>
          <w:rFonts w:cs="Times New Roman" w:ascii="Times New Roman" w:hAnsi="Times New Roman"/>
        </w:rPr>
      </w:r>
    </w:p>
    <w:p>
      <w:pPr>
        <w:pStyle w:val="Normal"/>
        <w:spacing w:before="0" w:after="299"/>
        <w:ind w:firstLine="850" w:start="2690" w:end="0"/>
        <w:rPr/>
      </w:pPr>
      <w:r>
        <w:rPr>
          <w:rFonts w:cs="Times New Roman" w:ascii="Times New Roman" w:hAnsi="Times New Roman"/>
          <w:b/>
        </w:rPr>
        <w:t>LA DIRIGENTE DEL I SETTORE</w:t>
      </w:r>
      <w:r>
        <w:rPr>
          <w:rFonts w:cs="Times New Roman" w:ascii="Times New Roman" w:hAnsi="Times New Roman"/>
        </w:rPr>
        <w:t xml:space="preserve"> </w:t>
      </w:r>
    </w:p>
    <w:p>
      <w:pPr>
        <w:pStyle w:val="Normal"/>
        <w:spacing w:before="0" w:after="299"/>
        <w:ind w:firstLine="850" w:start="-15" w:end="0"/>
        <w:rPr/>
      </w:pPr>
      <w:r>
        <w:rPr>
          <w:rFonts w:cs="Times New Roman" w:ascii="Times New Roman" w:hAnsi="Times New Roman"/>
        </w:rPr>
        <w:t xml:space="preserve">in esecuzione della Delibera di Giunta Municipale n. 376 del 17 Agosto 2026, con cui sono state approvate le apposite Linee Guida istitutive dall’Ente, </w:t>
      </w:r>
    </w:p>
    <w:p>
      <w:pPr>
        <w:pStyle w:val="Normal"/>
        <w:spacing w:before="0" w:after="299"/>
        <w:ind w:firstLine="850" w:start="-15" w:end="0"/>
        <w:rPr/>
      </w:pPr>
      <w:r>
        <w:rPr>
          <w:rFonts w:cs="Times New Roman" w:ascii="Times New Roman" w:hAnsi="Times New Roman"/>
          <w:b/>
          <w:bCs/>
        </w:rPr>
        <w:tab/>
        <w:tab/>
        <w:tab/>
        <w:tab/>
        <w:tab/>
        <w:t xml:space="preserve">  RENDE NOTO</w:t>
      </w:r>
      <w:r>
        <w:rPr>
          <w:rFonts w:cs="Times New Roman" w:ascii="Times New Roman" w:hAnsi="Times New Roman"/>
        </w:rPr>
        <w:t xml:space="preserve"> </w:t>
      </w:r>
    </w:p>
    <w:p>
      <w:pPr>
        <w:pStyle w:val="Normal"/>
        <w:spacing w:before="0" w:after="299"/>
        <w:ind w:firstLine="850" w:start="-15" w:end="0"/>
        <w:rPr/>
      </w:pPr>
      <w:r>
        <w:rPr>
          <w:rFonts w:cs="Times New Roman" w:ascii="Times New Roman" w:hAnsi="Times New Roman"/>
        </w:rPr>
        <w:t>che è indetta una manifestazione di interesse finalizzata alla costituzione dell'</w:t>
      </w:r>
      <w:r>
        <w:rPr>
          <w:rFonts w:cs="Times New Roman" w:ascii="Times New Roman" w:hAnsi="Times New Roman"/>
          <w:b/>
        </w:rPr>
        <w:t xml:space="preserve">Albo Comunale </w:t>
      </w:r>
      <w:r>
        <w:rPr>
          <w:rFonts w:cs="Times New Roman" w:ascii="Times New Roman" w:hAnsi="Times New Roman"/>
          <w:b/>
          <w:i/>
          <w:iCs/>
        </w:rPr>
        <w:t>(Short List)</w:t>
      </w:r>
      <w:r>
        <w:rPr>
          <w:rFonts w:cs="Times New Roman" w:ascii="Times New Roman" w:hAnsi="Times New Roman"/>
          <w:b/>
        </w:rPr>
        <w:t xml:space="preserve"> di legali di fiducia</w:t>
      </w:r>
      <w:r>
        <w:rPr>
          <w:rFonts w:cs="Times New Roman" w:ascii="Times New Roman" w:hAnsi="Times New Roman"/>
        </w:rPr>
        <w:t xml:space="preserve"> del Comune di Trapani.</w:t>
      </w:r>
    </w:p>
    <w:p>
      <w:pPr>
        <w:pStyle w:val="Normal"/>
        <w:spacing w:lineRule="auto" w:line="259" w:before="0" w:after="35"/>
        <w:ind w:firstLine="698" w:start="10" w:end="-3"/>
        <w:rPr/>
      </w:pPr>
      <w:r>
        <w:rPr>
          <w:rFonts w:cs="Times New Roman" w:ascii="Times New Roman" w:hAnsi="Times New Roman"/>
        </w:rPr>
        <w:t xml:space="preserve">Il presente Albo costituisce un elenco aperto di professionisti, singoli o associati, dal quale l'Amministrazione si riserva di attingere per il conferimento di incarichi di patrocinio legale, consulenza, assistenza e difesa riguardanti le controversie tra l'Ente e soggetti terzi, nonché per la richiesta di pareri legali, in caso di accertata e motivata impossibilità oggettiva di ricorso all'Avvocatura comunale interna, ai sensi dell'art. 7, comma 6, del D.Lgs. n. 165/2001 e nel rispetto dei principi di trasparenza, economicità, efficacia, imparzialità, parità di trattamento e pubblicità. </w:t>
      </w:r>
      <w:r>
        <w:rPr>
          <w:rFonts w:cs="Times New Roman" w:ascii="Times New Roman" w:hAnsi="Times New Roman"/>
          <w:u w:val="single"/>
        </w:rPr>
        <w:t>L'iscrizione nell'elenco non dà luogo ad alcuna procedura di tipo concorsuale, né comporta la formazione di graduatorie di merito o l'attribuzione di puntegg</w:t>
      </w:r>
      <w:r>
        <w:rPr>
          <w:rFonts w:cs="Times New Roman" w:ascii="Times New Roman" w:hAnsi="Times New Roman"/>
        </w:rPr>
        <w:t>i, ma individua esclusivamente i soggetti idonei per il potenziale conferimento di incarichi legali.</w:t>
      </w:r>
    </w:p>
    <w:p>
      <w:pPr>
        <w:pStyle w:val="Normal"/>
        <w:spacing w:lineRule="auto" w:line="259" w:before="0" w:after="35"/>
        <w:ind w:firstLine="698" w:start="10" w:end="-3"/>
        <w:rPr>
          <w:rFonts w:ascii="Times New Roman" w:hAnsi="Times New Roman" w:cs="Times New Roman"/>
        </w:rPr>
      </w:pPr>
      <w:r>
        <w:rPr>
          <w:rFonts w:cs="Times New Roman" w:ascii="Times New Roman" w:hAnsi="Times New Roman"/>
        </w:rPr>
      </w:r>
    </w:p>
    <w:p>
      <w:pPr>
        <w:pStyle w:val="Heading2"/>
        <w:ind w:hanging="10" w:start="-5" w:end="11"/>
        <w:rPr>
          <w:rFonts w:ascii="Times New Roman" w:hAnsi="Times New Roman" w:cs="Times New Roman"/>
        </w:rPr>
      </w:pPr>
      <w:r>
        <w:rPr>
          <w:rFonts w:cs="Times New Roman" w:ascii="Times New Roman" w:hAnsi="Times New Roman"/>
        </w:rPr>
        <w:t>ART. 1 - STRUTTURA DELL'ALBO E SEZIONI DI SPECIALIZZAZIONE</w:t>
      </w:r>
    </w:p>
    <w:p>
      <w:pPr>
        <w:pStyle w:val="Normal"/>
        <w:ind w:hanging="10" w:start="-5" w:end="0"/>
        <w:rPr/>
      </w:pPr>
      <w:r>
        <w:rPr>
          <w:rFonts w:cs="Times New Roman" w:ascii="Times New Roman" w:hAnsi="Times New Roman"/>
        </w:rPr>
        <w:t>L'Albo è unico e si articola nelle seguenti 5 (cinque) sezioni distinte in relazione alle diverse tipologie di contenzioso e ai relativi organi giurisdizionali:</w:t>
      </w:r>
    </w:p>
    <w:p>
      <w:pPr>
        <w:pStyle w:val="Normal"/>
        <w:ind w:hanging="10" w:start="-5" w:end="0"/>
        <w:rPr>
          <w:rFonts w:ascii="Times New Roman" w:hAnsi="Times New Roman" w:cs="Times New Roman"/>
        </w:rPr>
      </w:pPr>
      <w:r>
        <w:rPr>
          <w:rFonts w:cs="Times New Roman" w:ascii="Times New Roman" w:hAnsi="Times New Roman"/>
        </w:rPr>
      </w:r>
    </w:p>
    <w:p>
      <w:pPr>
        <w:pStyle w:val="Normal"/>
        <w:ind w:hanging="10" w:start="-5" w:end="0"/>
        <w:rPr>
          <w:rFonts w:ascii="Times New Roman" w:hAnsi="Times New Roman" w:cs="Times New Roman"/>
        </w:rPr>
      </w:pPr>
      <w:r>
        <w:rPr>
          <w:rFonts w:cs="Times New Roman" w:ascii="Times New Roman" w:hAnsi="Times New Roman"/>
        </w:rPr>
      </w:r>
    </w:p>
    <w:tbl>
      <w:tblPr>
        <w:tblStyle w:val="TableGrid"/>
        <w:tblW w:w="10190" w:type="dxa"/>
        <w:jc w:val="start"/>
        <w:tblInd w:w="8" w:type="dxa"/>
        <w:tblLayout w:type="fixed"/>
        <w:tblCellMar>
          <w:top w:w="200" w:type="dxa"/>
          <w:start w:w="78" w:type="dxa"/>
          <w:bottom w:w="0" w:type="dxa"/>
          <w:end w:w="182" w:type="dxa"/>
        </w:tblCellMar>
        <w:tblLook w:firstRow="1" w:noVBand="1" w:lastRow="0" w:firstColumn="1" w:lastColumn="0" w:noHBand="0" w:val="04a0"/>
      </w:tblPr>
      <w:tblGrid>
        <w:gridCol w:w="2547"/>
        <w:gridCol w:w="3563"/>
        <w:gridCol w:w="4080"/>
      </w:tblGrid>
      <w:tr>
        <w:trPr>
          <w:trHeight w:val="815" w:hRule="atLeast"/>
        </w:trPr>
        <w:tc>
          <w:tcPr>
            <w:tcW w:w="2547" w:type="dxa"/>
            <w:tcBorders>
              <w:top w:val="single" w:sz="6" w:space="0" w:color="CCCCCC"/>
              <w:start w:val="single" w:sz="6" w:space="0" w:color="CCCCCC"/>
              <w:bottom w:val="single" w:sz="6" w:space="0" w:color="CCCCCC"/>
              <w:end w:val="single" w:sz="6" w:space="0" w:color="CCCCCC"/>
            </w:tcBorders>
            <w:shd w:color="auto" w:fill="002E5D"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b/>
                <w:color w:val="FFFFFF"/>
                <w:sz w:val="20"/>
              </w:rPr>
              <w:t>SEZIONE</w:t>
            </w:r>
          </w:p>
        </w:tc>
        <w:tc>
          <w:tcPr>
            <w:tcW w:w="3563" w:type="dxa"/>
            <w:tcBorders>
              <w:top w:val="single" w:sz="6" w:space="0" w:color="CCCCCC"/>
              <w:start w:val="single" w:sz="6" w:space="0" w:color="CCCCCC"/>
              <w:bottom w:val="single" w:sz="6" w:space="0" w:color="CCCCCC"/>
              <w:end w:val="single" w:sz="6" w:space="0" w:color="CCCCCC"/>
            </w:tcBorders>
            <w:shd w:color="auto" w:fill="002E5D"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b/>
                <w:color w:val="FFFFFF"/>
                <w:sz w:val="20"/>
              </w:rPr>
              <w:t>AMBITO DEL CONTENZIOSO</w:t>
            </w:r>
          </w:p>
        </w:tc>
        <w:tc>
          <w:tcPr>
            <w:tcW w:w="4080" w:type="dxa"/>
            <w:tcBorders>
              <w:top w:val="single" w:sz="6" w:space="0" w:color="CCCCCC"/>
              <w:start w:val="single" w:sz="6" w:space="0" w:color="CCCCCC"/>
              <w:bottom w:val="single" w:sz="6" w:space="0" w:color="CCCCCC"/>
              <w:end w:val="single" w:sz="6" w:space="0" w:color="CCCCCC"/>
            </w:tcBorders>
            <w:shd w:color="auto" w:fill="002E5D" w:val="clear"/>
            <w:vAlign w:val="center"/>
          </w:tcPr>
          <w:p>
            <w:pPr>
              <w:pStyle w:val="Normal"/>
              <w:spacing w:lineRule="auto" w:line="259" w:before="0" w:after="32"/>
              <w:ind w:hanging="0" w:start="0" w:end="0"/>
              <w:jc w:val="start"/>
              <w:rPr>
                <w:rFonts w:ascii="Times New Roman" w:hAnsi="Times New Roman" w:cs="Times New Roman"/>
              </w:rPr>
            </w:pPr>
            <w:r>
              <w:rPr>
                <w:rFonts w:cs="Times New Roman" w:ascii="Times New Roman" w:hAnsi="Times New Roman"/>
                <w:b/>
                <w:color w:val="FFFFFF"/>
                <w:sz w:val="20"/>
              </w:rPr>
              <w:t>ORGANI GIURISDIZIONALI DI</w:t>
            </w:r>
          </w:p>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b/>
                <w:color w:val="FFFFFF"/>
                <w:sz w:val="20"/>
              </w:rPr>
              <w:t>RIFERIMENTO</w:t>
            </w:r>
          </w:p>
        </w:tc>
      </w:tr>
      <w:tr>
        <w:trPr>
          <w:trHeight w:val="1137" w:hRule="atLeast"/>
        </w:trPr>
        <w:tc>
          <w:tcPr>
            <w:tcW w:w="2547" w:type="dxa"/>
            <w:tcBorders>
              <w:top w:val="single" w:sz="6" w:space="0" w:color="CCCCCC"/>
              <w:start w:val="single" w:sz="6" w:space="0" w:color="CCCCCC"/>
              <w:bottom w:val="single" w:sz="6" w:space="0" w:color="CCCCCC"/>
              <w:end w:val="single" w:sz="6" w:space="0" w:color="CCCCCC"/>
            </w:tcBorders>
            <w:shd w:fill="auto"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b/>
                <w:sz w:val="21"/>
              </w:rPr>
              <w:t>Sezione  A</w:t>
            </w:r>
          </w:p>
        </w:tc>
        <w:tc>
          <w:tcPr>
            <w:tcW w:w="3563" w:type="dxa"/>
            <w:tcBorders>
              <w:top w:val="single" w:sz="6" w:space="0" w:color="CCCCCC"/>
              <w:start w:val="single" w:sz="6" w:space="0" w:color="CCCCCC"/>
              <w:bottom w:val="single" w:sz="6" w:space="0" w:color="CCCCCC"/>
              <w:end w:val="single" w:sz="6" w:space="0" w:color="CCCCCC"/>
            </w:tcBorders>
            <w:shd w:fill="auto"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sz w:val="21"/>
              </w:rPr>
              <w:t>Contenzioso Amministrativo</w:t>
            </w:r>
          </w:p>
        </w:tc>
        <w:tc>
          <w:tcPr>
            <w:tcW w:w="4080" w:type="dxa"/>
            <w:tcBorders>
              <w:top w:val="single" w:sz="6" w:space="0" w:color="CCCCCC"/>
              <w:start w:val="single" w:sz="6" w:space="0" w:color="CCCCCC"/>
              <w:bottom w:val="single" w:sz="6" w:space="0" w:color="CCCCCC"/>
              <w:end w:val="single" w:sz="6" w:space="0" w:color="CCCCCC"/>
            </w:tcBorders>
            <w:shd w:fill="auto" w:val="clear"/>
            <w:vAlign w:val="center"/>
          </w:tcPr>
          <w:p>
            <w:pPr>
              <w:pStyle w:val="Normal"/>
              <w:spacing w:before="0" w:after="0"/>
              <w:ind w:hanging="0" w:start="0" w:end="0"/>
              <w:rPr>
                <w:rFonts w:ascii="Times New Roman" w:hAnsi="Times New Roman" w:cs="Times New Roman"/>
              </w:rPr>
            </w:pPr>
            <w:r>
              <w:rPr>
                <w:rFonts w:cs="Times New Roman" w:ascii="Times New Roman" w:hAnsi="Times New Roman"/>
                <w:sz w:val="21"/>
              </w:rPr>
              <w:t>T.A.R., Consiglio di Stato, Consiglio di Giustizia Amministrativa (CGA), Tribunale</w:t>
            </w:r>
          </w:p>
          <w:p>
            <w:pPr>
              <w:pStyle w:val="Normal"/>
              <w:spacing w:lineRule="auto" w:line="259" w:before="0" w:after="0"/>
              <w:ind w:hanging="0" w:start="0" w:end="0"/>
              <w:rPr>
                <w:rFonts w:ascii="Times New Roman" w:hAnsi="Times New Roman" w:cs="Times New Roman"/>
              </w:rPr>
            </w:pPr>
            <w:r>
              <w:rPr>
                <w:rFonts w:cs="Times New Roman" w:ascii="Times New Roman" w:hAnsi="Times New Roman"/>
                <w:sz w:val="21"/>
              </w:rPr>
              <w:t>Superiore delle Acque Pubbliche (T.S.A.P.).</w:t>
            </w:r>
          </w:p>
        </w:tc>
      </w:tr>
      <w:tr>
        <w:trPr>
          <w:trHeight w:val="1137" w:hRule="atLeast"/>
        </w:trPr>
        <w:tc>
          <w:tcPr>
            <w:tcW w:w="2547" w:type="dxa"/>
            <w:tcBorders>
              <w:top w:val="single" w:sz="6" w:space="0" w:color="CCCCCC"/>
              <w:start w:val="single" w:sz="6" w:space="0" w:color="CCCCCC"/>
              <w:bottom w:val="single" w:sz="6" w:space="0" w:color="CCCCCC"/>
              <w:end w:val="single" w:sz="6" w:space="0" w:color="CCCCCC"/>
            </w:tcBorders>
            <w:shd w:color="auto" w:fill="F9F9F9"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b/>
                <w:sz w:val="21"/>
              </w:rPr>
              <w:t>Sezione  B</w:t>
            </w:r>
          </w:p>
        </w:tc>
        <w:tc>
          <w:tcPr>
            <w:tcW w:w="3563" w:type="dxa"/>
            <w:tcBorders>
              <w:top w:val="single" w:sz="6" w:space="0" w:color="CCCCCC"/>
              <w:start w:val="single" w:sz="6" w:space="0" w:color="CCCCCC"/>
              <w:bottom w:val="single" w:sz="6" w:space="0" w:color="CCCCCC"/>
              <w:end w:val="single" w:sz="6" w:space="0" w:color="CCCCCC"/>
            </w:tcBorders>
            <w:shd w:color="auto" w:fill="F9F9F9"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sz w:val="21"/>
              </w:rPr>
              <w:t>Contenzioso Civile</w:t>
            </w:r>
          </w:p>
        </w:tc>
        <w:tc>
          <w:tcPr>
            <w:tcW w:w="4080" w:type="dxa"/>
            <w:tcBorders>
              <w:top w:val="single" w:sz="6" w:space="0" w:color="CCCCCC"/>
              <w:start w:val="single" w:sz="6" w:space="0" w:color="CCCCCC"/>
              <w:bottom w:val="single" w:sz="6" w:space="0" w:color="CCCCCC"/>
              <w:end w:val="single" w:sz="6" w:space="0" w:color="CCCCCC"/>
            </w:tcBorders>
            <w:shd w:color="auto" w:fill="F9F9F9" w:val="clear"/>
            <w:vAlign w:val="center"/>
          </w:tcPr>
          <w:p>
            <w:pPr>
              <w:pStyle w:val="Normal"/>
              <w:spacing w:lineRule="auto" w:line="259" w:before="0" w:after="33"/>
              <w:ind w:hanging="0" w:start="0" w:end="0"/>
              <w:rPr>
                <w:rFonts w:ascii="Times New Roman" w:hAnsi="Times New Roman" w:cs="Times New Roman"/>
              </w:rPr>
            </w:pPr>
            <w:r>
              <w:rPr>
                <w:rFonts w:cs="Times New Roman" w:ascii="Times New Roman" w:hAnsi="Times New Roman"/>
                <w:sz w:val="21"/>
              </w:rPr>
              <w:t>Giudice di Pace, Tribunale, Corte d'Appello,</w:t>
            </w:r>
          </w:p>
          <w:p>
            <w:pPr>
              <w:pStyle w:val="Normal"/>
              <w:spacing w:lineRule="auto" w:line="259" w:before="0" w:after="0"/>
              <w:ind w:hanging="0" w:start="0" w:end="0"/>
              <w:rPr>
                <w:rFonts w:ascii="Times New Roman" w:hAnsi="Times New Roman" w:cs="Times New Roman"/>
              </w:rPr>
            </w:pPr>
            <w:r>
              <w:rPr>
                <w:rFonts w:cs="Times New Roman" w:ascii="Times New Roman" w:hAnsi="Times New Roman"/>
                <w:sz w:val="21"/>
              </w:rPr>
              <w:t>Corte di Cassazione Civile, T.R.A.P., T.S.A.P.</w:t>
            </w:r>
          </w:p>
        </w:tc>
      </w:tr>
      <w:tr>
        <w:trPr>
          <w:trHeight w:val="843" w:hRule="atLeast"/>
        </w:trPr>
        <w:tc>
          <w:tcPr>
            <w:tcW w:w="2547" w:type="dxa"/>
            <w:tcBorders>
              <w:top w:val="single" w:sz="6" w:space="0" w:color="CCCCCC"/>
              <w:start w:val="single" w:sz="6" w:space="0" w:color="CCCCCC"/>
              <w:bottom w:val="single" w:sz="6" w:space="0" w:color="CCCCCC"/>
              <w:end w:val="single" w:sz="6" w:space="0" w:color="CCCCCC"/>
            </w:tcBorders>
            <w:shd w:fill="auto"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b/>
                <w:sz w:val="21"/>
              </w:rPr>
              <w:t>Sezione  C</w:t>
            </w:r>
          </w:p>
        </w:tc>
        <w:tc>
          <w:tcPr>
            <w:tcW w:w="3563" w:type="dxa"/>
            <w:tcBorders>
              <w:top w:val="single" w:sz="6" w:space="0" w:color="CCCCCC"/>
              <w:start w:val="single" w:sz="6" w:space="0" w:color="CCCCCC"/>
              <w:bottom w:val="single" w:sz="6" w:space="0" w:color="CCCCCC"/>
              <w:end w:val="single" w:sz="6" w:space="0" w:color="CCCCCC"/>
            </w:tcBorders>
            <w:shd w:fill="auto"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sz w:val="21"/>
              </w:rPr>
              <w:t>Contenzioso Lavoristico</w:t>
            </w:r>
          </w:p>
        </w:tc>
        <w:tc>
          <w:tcPr>
            <w:tcW w:w="4080" w:type="dxa"/>
            <w:tcBorders>
              <w:top w:val="single" w:sz="6" w:space="0" w:color="CCCCCC"/>
              <w:start w:val="single" w:sz="6" w:space="0" w:color="CCCCCC"/>
              <w:bottom w:val="single" w:sz="6" w:space="0" w:color="CCCCCC"/>
              <w:end w:val="single" w:sz="6" w:space="0" w:color="CCCCCC"/>
            </w:tcBorders>
            <w:shd w:fill="auto" w:val="clear"/>
            <w:vAlign w:val="center"/>
          </w:tcPr>
          <w:p>
            <w:pPr>
              <w:pStyle w:val="Normal"/>
              <w:spacing w:lineRule="auto" w:line="259" w:before="0" w:after="0"/>
              <w:ind w:hanging="0" w:start="0" w:end="0"/>
              <w:rPr>
                <w:rFonts w:ascii="Times New Roman" w:hAnsi="Times New Roman" w:cs="Times New Roman"/>
              </w:rPr>
            </w:pPr>
            <w:r>
              <w:rPr>
                <w:rFonts w:cs="Times New Roman" w:ascii="Times New Roman" w:hAnsi="Times New Roman"/>
                <w:sz w:val="21"/>
              </w:rPr>
              <w:t>Giudice del Lavoro, Tribunale, Corte d'Appello, Corte di Cassazione.</w:t>
            </w:r>
          </w:p>
        </w:tc>
      </w:tr>
      <w:tr>
        <w:trPr>
          <w:trHeight w:val="1137" w:hRule="atLeast"/>
        </w:trPr>
        <w:tc>
          <w:tcPr>
            <w:tcW w:w="2547" w:type="dxa"/>
            <w:tcBorders>
              <w:top w:val="single" w:sz="6" w:space="0" w:color="CCCCCC"/>
              <w:start w:val="single" w:sz="6" w:space="0" w:color="CCCCCC"/>
              <w:bottom w:val="single" w:sz="6" w:space="0" w:color="CCCCCC"/>
              <w:end w:val="single" w:sz="6" w:space="0" w:color="CCCCCC"/>
            </w:tcBorders>
            <w:shd w:color="auto" w:fill="F9F9F9"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b/>
                <w:sz w:val="21"/>
              </w:rPr>
              <w:t>Sezione   D</w:t>
            </w:r>
          </w:p>
        </w:tc>
        <w:tc>
          <w:tcPr>
            <w:tcW w:w="3563" w:type="dxa"/>
            <w:tcBorders>
              <w:top w:val="single" w:sz="6" w:space="0" w:color="CCCCCC"/>
              <w:start w:val="single" w:sz="6" w:space="0" w:color="CCCCCC"/>
              <w:bottom w:val="single" w:sz="6" w:space="0" w:color="CCCCCC"/>
              <w:end w:val="single" w:sz="6" w:space="0" w:color="CCCCCC"/>
            </w:tcBorders>
            <w:shd w:color="auto" w:fill="F9F9F9"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sz w:val="21"/>
              </w:rPr>
              <w:t>Contenzioso Penale</w:t>
            </w:r>
          </w:p>
        </w:tc>
        <w:tc>
          <w:tcPr>
            <w:tcW w:w="4080" w:type="dxa"/>
            <w:tcBorders>
              <w:top w:val="single" w:sz="6" w:space="0" w:color="CCCCCC"/>
              <w:start w:val="single" w:sz="6" w:space="0" w:color="CCCCCC"/>
              <w:bottom w:val="single" w:sz="6" w:space="0" w:color="CCCCCC"/>
              <w:end w:val="single" w:sz="6" w:space="0" w:color="CCCCCC"/>
            </w:tcBorders>
            <w:shd w:color="auto" w:fill="F9F9F9" w:val="clear"/>
            <w:vAlign w:val="center"/>
          </w:tcPr>
          <w:p>
            <w:pPr>
              <w:pStyle w:val="Normal"/>
              <w:spacing w:lineRule="auto" w:line="259" w:before="0" w:after="33"/>
              <w:ind w:hanging="0" w:start="0" w:end="0"/>
              <w:rPr>
                <w:rFonts w:ascii="Times New Roman" w:hAnsi="Times New Roman" w:cs="Times New Roman"/>
              </w:rPr>
            </w:pPr>
            <w:r>
              <w:rPr>
                <w:rFonts w:cs="Times New Roman" w:ascii="Times New Roman" w:hAnsi="Times New Roman"/>
                <w:sz w:val="21"/>
              </w:rPr>
              <w:t>Tribunale, Corte d'Assise, Corte d'Appello,</w:t>
            </w:r>
          </w:p>
          <w:p>
            <w:pPr>
              <w:pStyle w:val="Normal"/>
              <w:spacing w:lineRule="auto" w:line="259" w:before="0" w:after="0"/>
              <w:ind w:hanging="0" w:start="0" w:end="0"/>
              <w:rPr>
                <w:rFonts w:ascii="Times New Roman" w:hAnsi="Times New Roman" w:cs="Times New Roman"/>
              </w:rPr>
            </w:pPr>
            <w:r>
              <w:rPr>
                <w:rFonts w:cs="Times New Roman" w:ascii="Times New Roman" w:hAnsi="Times New Roman"/>
                <w:sz w:val="21"/>
              </w:rPr>
              <w:t>Corte d'Assise d'Appello, Corte di Cassazione Penale.</w:t>
            </w:r>
          </w:p>
        </w:tc>
      </w:tr>
      <w:tr>
        <w:trPr>
          <w:trHeight w:val="1431" w:hRule="atLeast"/>
        </w:trPr>
        <w:tc>
          <w:tcPr>
            <w:tcW w:w="2547" w:type="dxa"/>
            <w:tcBorders>
              <w:top w:val="single" w:sz="6" w:space="0" w:color="CCCCCC"/>
              <w:start w:val="single" w:sz="6" w:space="0" w:color="CCCCCC"/>
              <w:bottom w:val="single" w:sz="6" w:space="0" w:color="CCCCCC"/>
              <w:end w:val="single" w:sz="6" w:space="0" w:color="CCCCCC"/>
            </w:tcBorders>
            <w:shd w:fill="auto"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b/>
                <w:sz w:val="21"/>
              </w:rPr>
              <w:t>Sezione  E</w:t>
            </w:r>
          </w:p>
        </w:tc>
        <w:tc>
          <w:tcPr>
            <w:tcW w:w="3563" w:type="dxa"/>
            <w:tcBorders>
              <w:top w:val="single" w:sz="6" w:space="0" w:color="CCCCCC"/>
              <w:start w:val="single" w:sz="6" w:space="0" w:color="CCCCCC"/>
              <w:bottom w:val="single" w:sz="6" w:space="0" w:color="CCCCCC"/>
              <w:end w:val="single" w:sz="6" w:space="0" w:color="CCCCCC"/>
            </w:tcBorders>
            <w:shd w:fill="auto" w:val="clear"/>
          </w:tcPr>
          <w:p>
            <w:pPr>
              <w:pStyle w:val="Normal"/>
              <w:spacing w:lineRule="auto" w:line="259" w:before="0" w:after="0"/>
              <w:ind w:hanging="0" w:start="0" w:end="0"/>
              <w:jc w:val="start"/>
              <w:rPr>
                <w:rFonts w:ascii="Times New Roman" w:hAnsi="Times New Roman" w:cs="Times New Roman"/>
              </w:rPr>
            </w:pPr>
            <w:r>
              <w:rPr>
                <w:rFonts w:cs="Times New Roman" w:ascii="Times New Roman" w:hAnsi="Times New Roman"/>
                <w:sz w:val="21"/>
              </w:rPr>
              <w:t>Contenzioso Tributario</w:t>
            </w:r>
          </w:p>
        </w:tc>
        <w:tc>
          <w:tcPr>
            <w:tcW w:w="4080" w:type="dxa"/>
            <w:tcBorders>
              <w:top w:val="single" w:sz="6" w:space="0" w:color="CCCCCC"/>
              <w:start w:val="single" w:sz="6" w:space="0" w:color="CCCCCC"/>
              <w:bottom w:val="single" w:sz="6" w:space="0" w:color="CCCCCC"/>
              <w:end w:val="single" w:sz="6" w:space="0" w:color="CCCCCC"/>
            </w:tcBorders>
            <w:shd w:fill="auto" w:val="clear"/>
            <w:vAlign w:val="center"/>
          </w:tcPr>
          <w:p>
            <w:pPr>
              <w:pStyle w:val="Normal"/>
              <w:spacing w:lineRule="auto" w:line="259" w:before="0" w:after="0"/>
              <w:ind w:hanging="0" w:start="0" w:end="0"/>
              <w:rPr/>
            </w:pPr>
            <w:r>
              <w:rPr>
                <w:rFonts w:cs="Times New Roman" w:ascii="Times New Roman" w:hAnsi="Times New Roman"/>
                <w:sz w:val="21"/>
              </w:rPr>
              <w:t>Corte di Giustizia Tributaria di primo grado,Corte di Giustizia Tributaria di secondo grado e Corte di Cassazione Tributaria.</w:t>
            </w:r>
          </w:p>
        </w:tc>
      </w:tr>
    </w:tbl>
    <w:p>
      <w:pPr>
        <w:pStyle w:val="Normal"/>
        <w:spacing w:lineRule="auto" w:line="259" w:before="0" w:after="35"/>
        <w:ind w:hanging="10" w:start="10" w:end="-3"/>
        <w:jc w:val="end"/>
        <w:rPr>
          <w:rFonts w:ascii="Times New Roman" w:hAnsi="Times New Roman" w:cs="Times New Roman"/>
        </w:rPr>
      </w:pPr>
      <w:r>
        <w:rPr>
          <w:rFonts w:cs="Times New Roman" w:ascii="Times New Roman" w:hAnsi="Times New Roman"/>
        </w:rPr>
      </w:r>
    </w:p>
    <w:p>
      <w:pPr>
        <w:pStyle w:val="Normal"/>
        <w:spacing w:lineRule="auto" w:line="259" w:before="0" w:after="35"/>
        <w:ind w:hanging="10" w:start="10" w:end="-3"/>
        <w:jc w:val="end"/>
        <w:rPr>
          <w:rFonts w:ascii="Times New Roman" w:hAnsi="Times New Roman" w:cs="Times New Roman"/>
        </w:rPr>
      </w:pPr>
      <w:r>
        <w:rPr>
          <w:rFonts w:cs="Times New Roman" w:ascii="Times New Roman" w:hAnsi="Times New Roman"/>
        </w:rPr>
        <w:t xml:space="preserve">Ciascun professionista, singolo o associato, può richiedere l'iscrizione a un </w:t>
      </w:r>
      <w:r>
        <w:rPr>
          <w:rFonts w:cs="Times New Roman" w:ascii="Times New Roman" w:hAnsi="Times New Roman"/>
          <w:b/>
        </w:rPr>
        <w:t>numero massimo di 2 (due)</w:t>
      </w:r>
    </w:p>
    <w:p>
      <w:pPr>
        <w:pStyle w:val="Normal"/>
        <w:spacing w:before="0" w:after="271"/>
        <w:ind w:hanging="10" w:start="-5" w:end="0"/>
        <w:rPr>
          <w:rFonts w:ascii="Times New Roman" w:hAnsi="Times New Roman" w:cs="Times New Roman"/>
        </w:rPr>
      </w:pPr>
      <w:r>
        <w:rPr>
          <w:rFonts w:cs="Times New Roman" w:ascii="Times New Roman" w:hAnsi="Times New Roman"/>
          <w:b/>
        </w:rPr>
        <w:t>sezioni</w:t>
      </w:r>
      <w:r>
        <w:rPr>
          <w:rFonts w:cs="Times New Roman" w:ascii="Times New Roman" w:hAnsi="Times New Roman"/>
        </w:rPr>
        <w:t xml:space="preserve"> dell'Albo, in relazione alla specifica esperienza professionale maturata e debitamente documentata e dichiarata.</w:t>
      </w:r>
    </w:p>
    <w:p>
      <w:pPr>
        <w:pStyle w:val="Heading2"/>
        <w:ind w:hanging="10" w:start="-5" w:end="1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ART. 2 - REQUISITI PER L'INSERIMENTO NELL'ALBO</w:t>
      </w:r>
    </w:p>
    <w:p>
      <w:pPr>
        <w:pStyle w:val="Normal"/>
        <w:spacing w:before="0" w:after="119"/>
        <w:ind w:hanging="10" w:start="-5" w:end="0"/>
        <w:rPr>
          <w:rFonts w:ascii="Times New Roman" w:hAnsi="Times New Roman" w:cs="Times New Roman"/>
        </w:rPr>
      </w:pPr>
      <w:r>
        <w:rPr>
          <w:rFonts w:cs="Times New Roman" w:ascii="Times New Roman" w:hAnsi="Times New Roman"/>
        </w:rPr>
        <w:t>Ai fini dell'iscrizione nell'Albo, i candidati devono possedere, alla data di presentazione della domanda, pena l'esclusione, i seguenti requisiti, i quali dovranno permanere per tutta la durata dell'iscrizione:</w:t>
      </w:r>
    </w:p>
    <w:p>
      <w:pPr>
        <w:pStyle w:val="Normal"/>
        <w:numPr>
          <w:ilvl w:val="0"/>
          <w:numId w:val="2"/>
        </w:numPr>
        <w:ind w:hanging="330" w:start="485" w:end="0"/>
        <w:rPr/>
      </w:pPr>
      <w:r>
        <w:rPr>
          <w:rFonts w:cs="Times New Roman" w:ascii="Times New Roman" w:hAnsi="Times New Roman"/>
        </w:rPr>
        <w:t>Essere cittadini italiani, in possesso dei diritti civili e politici;</w:t>
      </w:r>
    </w:p>
    <w:p>
      <w:pPr>
        <w:pStyle w:val="Normal"/>
        <w:numPr>
          <w:ilvl w:val="0"/>
          <w:numId w:val="2"/>
        </w:numPr>
        <w:ind w:hanging="330" w:start="485" w:end="0"/>
        <w:rPr/>
      </w:pPr>
      <w:r>
        <w:rPr>
          <w:rFonts w:cs="Times New Roman" w:ascii="Times New Roman" w:hAnsi="Times New Roman"/>
        </w:rPr>
        <w:t>Non trovarsi in condizioni che comportino l'incapacità di contrattare con la Pubblica Amministrazione;</w:t>
      </w:r>
    </w:p>
    <w:p>
      <w:pPr>
        <w:pStyle w:val="Normal"/>
        <w:numPr>
          <w:ilvl w:val="0"/>
          <w:numId w:val="2"/>
        </w:numPr>
        <w:ind w:hanging="330" w:start="485" w:end="0"/>
        <w:rPr/>
      </w:pPr>
      <w:r>
        <w:rPr>
          <w:rFonts w:cs="Times New Roman" w:ascii="Times New Roman" w:hAnsi="Times New Roman"/>
          <w:szCs w:val="22"/>
        </w:rPr>
        <w:t>essere</w:t>
      </w:r>
      <w:r>
        <w:rPr>
          <w:rFonts w:cs="Times New Roman" w:ascii="Times New Roman" w:hAnsi="Times New Roman"/>
          <w:spacing w:val="40"/>
          <w:szCs w:val="22"/>
        </w:rPr>
        <w:t xml:space="preserve"> </w:t>
      </w:r>
      <w:r>
        <w:rPr>
          <w:rFonts w:cs="Times New Roman" w:ascii="Times New Roman" w:hAnsi="Times New Roman"/>
          <w:szCs w:val="22"/>
        </w:rPr>
        <w:t>regolarmente</w:t>
      </w:r>
      <w:r>
        <w:rPr>
          <w:rFonts w:cs="Times New Roman" w:ascii="Times New Roman" w:hAnsi="Times New Roman"/>
          <w:spacing w:val="40"/>
          <w:szCs w:val="22"/>
        </w:rPr>
        <w:t xml:space="preserve"> </w:t>
      </w:r>
      <w:r>
        <w:rPr>
          <w:rFonts w:cs="Times New Roman" w:ascii="Times New Roman" w:hAnsi="Times New Roman"/>
          <w:szCs w:val="22"/>
        </w:rPr>
        <w:t>iscritti</w:t>
      </w:r>
      <w:r>
        <w:rPr>
          <w:rFonts w:cs="Times New Roman" w:ascii="Times New Roman" w:hAnsi="Times New Roman"/>
          <w:spacing w:val="40"/>
          <w:szCs w:val="22"/>
        </w:rPr>
        <w:t xml:space="preserve"> </w:t>
      </w:r>
      <w:r>
        <w:rPr>
          <w:rFonts w:cs="Times New Roman" w:ascii="Times New Roman" w:hAnsi="Times New Roman"/>
          <w:szCs w:val="22"/>
        </w:rPr>
        <w:t>ininterrottamente</w:t>
      </w:r>
      <w:r>
        <w:rPr>
          <w:rFonts w:cs="Times New Roman" w:ascii="Times New Roman" w:hAnsi="Times New Roman"/>
          <w:spacing w:val="40"/>
          <w:szCs w:val="22"/>
        </w:rPr>
        <w:t xml:space="preserve"> </w:t>
      </w:r>
      <w:r>
        <w:rPr>
          <w:rFonts w:cs="Times New Roman" w:ascii="Times New Roman" w:hAnsi="Times New Roman"/>
          <w:szCs w:val="22"/>
        </w:rPr>
        <w:t>all’Albo</w:t>
      </w:r>
      <w:r>
        <w:rPr>
          <w:rFonts w:cs="Times New Roman" w:ascii="Times New Roman" w:hAnsi="Times New Roman"/>
          <w:spacing w:val="40"/>
          <w:szCs w:val="22"/>
        </w:rPr>
        <w:t xml:space="preserve"> </w:t>
      </w:r>
      <w:r>
        <w:rPr>
          <w:rFonts w:cs="Times New Roman" w:ascii="Times New Roman" w:hAnsi="Times New Roman"/>
          <w:szCs w:val="22"/>
        </w:rPr>
        <w:t>professionale</w:t>
      </w:r>
      <w:r>
        <w:rPr>
          <w:rFonts w:cs="Times New Roman" w:ascii="Times New Roman" w:hAnsi="Times New Roman"/>
          <w:spacing w:val="40"/>
          <w:szCs w:val="22"/>
        </w:rPr>
        <w:t xml:space="preserve"> </w:t>
      </w:r>
      <w:r>
        <w:rPr>
          <w:rFonts w:cs="Times New Roman" w:ascii="Times New Roman" w:hAnsi="Times New Roman"/>
          <w:szCs w:val="22"/>
        </w:rPr>
        <w:t>degli</w:t>
      </w:r>
      <w:r>
        <w:rPr>
          <w:rFonts w:cs="Times New Roman" w:ascii="Times New Roman" w:hAnsi="Times New Roman"/>
          <w:spacing w:val="40"/>
          <w:szCs w:val="22"/>
        </w:rPr>
        <w:t xml:space="preserve"> </w:t>
      </w:r>
      <w:r>
        <w:rPr>
          <w:rFonts w:cs="Times New Roman" w:ascii="Times New Roman" w:hAnsi="Times New Roman"/>
          <w:szCs w:val="22"/>
        </w:rPr>
        <w:t>Avvocati</w:t>
      </w:r>
      <w:r>
        <w:rPr>
          <w:rFonts w:cs="Times New Roman" w:ascii="Times New Roman" w:hAnsi="Times New Roman"/>
          <w:spacing w:val="40"/>
          <w:szCs w:val="22"/>
        </w:rPr>
        <w:t xml:space="preserve"> </w:t>
      </w:r>
      <w:r>
        <w:rPr>
          <w:rFonts w:cs="Times New Roman" w:ascii="Times New Roman" w:hAnsi="Times New Roman"/>
          <w:szCs w:val="22"/>
        </w:rPr>
        <w:t>da almeno cinque anni, con indicazione della data di prima iscrizione e dell’eventuale continuità dell’iscrizione e delle successive variazioni;</w:t>
      </w:r>
    </w:p>
    <w:p>
      <w:pPr>
        <w:pStyle w:val="Normal"/>
        <w:numPr>
          <w:ilvl w:val="0"/>
          <w:numId w:val="2"/>
        </w:numPr>
        <w:ind w:hanging="330" w:start="485" w:end="0"/>
        <w:rPr>
          <w:rFonts w:ascii="Times New Roman" w:hAnsi="Times New Roman" w:cs="Times New Roman"/>
        </w:rPr>
      </w:pPr>
      <w:r>
        <w:rPr>
          <w:rFonts w:cs="Times New Roman" w:ascii="Times New Roman" w:hAnsi="Times New Roman"/>
        </w:rPr>
        <w:t>Esercitare la libera professione forense con specifica competenza ed esperienza nelle materie per le quali si richiede l'iscrizione, documentata mediante curriculum vitae dettagliato (reso ai sensi del DPR 445/2000);</w:t>
      </w:r>
    </w:p>
    <w:p>
      <w:pPr>
        <w:pStyle w:val="Normal"/>
        <w:numPr>
          <w:ilvl w:val="0"/>
          <w:numId w:val="2"/>
        </w:numPr>
        <w:ind w:hanging="330" w:start="485" w:end="0"/>
        <w:rPr>
          <w:rFonts w:ascii="Times New Roman" w:hAnsi="Times New Roman" w:cs="Times New Roman"/>
        </w:rPr>
      </w:pPr>
      <w:r>
        <w:rPr>
          <w:rFonts w:cs="Times New Roman" w:ascii="Times New Roman" w:hAnsi="Times New Roman"/>
        </w:rPr>
        <w:t>Indicare l'eventuale iscrizione nell'Albo speciale per il patrocinio dinanzi alle Magistrature Superiori;</w:t>
      </w:r>
    </w:p>
    <w:p>
      <w:pPr>
        <w:pStyle w:val="Normal"/>
        <w:numPr>
          <w:ilvl w:val="0"/>
          <w:numId w:val="2"/>
        </w:numPr>
        <w:ind w:hanging="330" w:start="485" w:end="0"/>
        <w:rPr>
          <w:rFonts w:ascii="Times New Roman" w:hAnsi="Times New Roman" w:cs="Times New Roman"/>
        </w:rPr>
      </w:pPr>
      <w:r>
        <w:rPr>
          <w:rFonts w:cs="Times New Roman" w:ascii="Times New Roman" w:hAnsi="Times New Roman"/>
        </w:rPr>
        <w:t>Non aver subito provvedimenti disciplinari di sospensione o altre sanzioni da parte del Consiglio dell'Ordine degli Avvocati di appartenenza e non avere procedimenti disciplinari pendenti;</w:t>
      </w:r>
    </w:p>
    <w:p>
      <w:pPr>
        <w:pStyle w:val="Normal"/>
        <w:numPr>
          <w:ilvl w:val="0"/>
          <w:numId w:val="2"/>
        </w:numPr>
        <w:ind w:hanging="330" w:start="485" w:end="0"/>
        <w:rPr>
          <w:rFonts w:ascii="Times New Roman" w:hAnsi="Times New Roman" w:cs="Times New Roman"/>
        </w:rPr>
      </w:pPr>
      <w:r>
        <w:rPr>
          <w:rFonts w:cs="Times New Roman" w:ascii="Times New Roman" w:hAnsi="Times New Roman"/>
        </w:rPr>
        <w:t>Non essere sottoposti a misure di prevenzione, né esservi soggetti conviventi, ai sensi della normativa vigente antimafia;</w:t>
      </w:r>
    </w:p>
    <w:p>
      <w:pPr>
        <w:pStyle w:val="Normal"/>
        <w:numPr>
          <w:ilvl w:val="0"/>
          <w:numId w:val="2"/>
        </w:numPr>
        <w:ind w:hanging="330" w:start="485" w:end="0"/>
        <w:rPr>
          <w:rFonts w:ascii="Times New Roman" w:hAnsi="Times New Roman" w:cs="Times New Roman"/>
        </w:rPr>
      </w:pPr>
      <w:r>
        <w:rPr>
          <w:rFonts w:cs="Times New Roman" w:ascii="Times New Roman" w:hAnsi="Times New Roman"/>
        </w:rPr>
        <w:t>Non trovarsi in alcuna situazione, anche potenziale, di conflitto di interessi con il Comune di Trapani, con obbligo di comunicazion</w:t>
      </w:r>
      <w:r>
        <w:rPr>
          <w:rFonts w:cs="Times New Roman" w:ascii="Times New Roman" w:hAnsi="Times New Roman"/>
          <w:u w:val="single"/>
        </w:rPr>
        <w:t xml:space="preserve">e tempestiva entro 15 giorni </w:t>
      </w:r>
      <w:r>
        <w:rPr>
          <w:rFonts w:cs="Times New Roman" w:ascii="Times New Roman" w:hAnsi="Times New Roman"/>
        </w:rPr>
        <w:t>dall'eventuale insorgenza sopravvenuta;</w:t>
      </w:r>
    </w:p>
    <w:p>
      <w:pPr>
        <w:pStyle w:val="Normal"/>
        <w:numPr>
          <w:ilvl w:val="0"/>
          <w:numId w:val="2"/>
        </w:numPr>
        <w:ind w:hanging="330" w:start="485" w:end="0"/>
        <w:rPr/>
      </w:pPr>
      <w:r>
        <w:rPr>
          <w:rFonts w:cs="Times New Roman" w:ascii="Times New Roman" w:hAnsi="Times New Roman"/>
          <w:b/>
        </w:rPr>
        <w:t>Assenza di contenzioso pendente:</w:t>
      </w:r>
      <w:r>
        <w:rPr>
          <w:rFonts w:cs="Times New Roman" w:ascii="Times New Roman" w:hAnsi="Times New Roman"/>
        </w:rPr>
        <w:t xml:space="preserve"> </w:t>
      </w:r>
      <w:r>
        <w:rPr>
          <w:rFonts w:cs="Times New Roman" w:ascii="Times New Roman" w:hAnsi="Times New Roman"/>
          <w:u w:val="single"/>
        </w:rPr>
        <w:t xml:space="preserve">non avere contenziosi pendenti, in proprio o quale difensore di terzi, contro il Comune di Trapani o contro società, enti, consorzi, associazioni o organismi da esso partecipati. </w:t>
      </w:r>
      <w:r>
        <w:rPr>
          <w:rFonts w:cs="Times New Roman" w:ascii="Times New Roman" w:hAnsi="Times New Roman"/>
        </w:rPr>
        <w:t>Nel caso di studi associati, associazioni professionali o società tra Avvocati, tale dichiarazione deve essere resa per tutti i professionisti associati o soci;</w:t>
      </w:r>
    </w:p>
    <w:p>
      <w:pPr>
        <w:pStyle w:val="Normal"/>
        <w:numPr>
          <w:ilvl w:val="0"/>
          <w:numId w:val="2"/>
        </w:numPr>
        <w:ind w:hanging="330" w:start="485" w:end="0"/>
        <w:rPr>
          <w:rFonts w:ascii="Times New Roman" w:hAnsi="Times New Roman" w:cs="Times New Roman"/>
        </w:rPr>
      </w:pPr>
      <w:r>
        <w:rPr>
          <w:rFonts w:cs="Times New Roman" w:ascii="Times New Roman" w:hAnsi="Times New Roman"/>
        </w:rPr>
        <w:t>Non sussistere a proprio carico le cause di esclusione di cui agli artt. 94 e 95 del Codice dei Contratti Pubblici (D.Lgs. 36/2023), relativamente alle ipotesi applicabili;</w:t>
      </w:r>
    </w:p>
    <w:p>
      <w:pPr>
        <w:pStyle w:val="Normal"/>
        <w:numPr>
          <w:ilvl w:val="0"/>
          <w:numId w:val="2"/>
        </w:numPr>
        <w:ind w:hanging="330" w:start="485" w:end="0"/>
        <w:rPr>
          <w:rFonts w:ascii="Times New Roman" w:hAnsi="Times New Roman" w:cs="Times New Roman"/>
        </w:rPr>
      </w:pPr>
      <w:r>
        <w:rPr>
          <w:rFonts w:cs="Times New Roman" w:ascii="Times New Roman" w:hAnsi="Times New Roman"/>
        </w:rPr>
        <w:t>Essere in regola con gli obblighi contributivi e previdenziali (Cassa Forense);</w:t>
      </w:r>
    </w:p>
    <w:p>
      <w:pPr>
        <w:pStyle w:val="Normal"/>
        <w:numPr>
          <w:ilvl w:val="0"/>
          <w:numId w:val="2"/>
        </w:numPr>
        <w:spacing w:before="0" w:after="266"/>
        <w:ind w:hanging="330" w:start="485" w:end="0"/>
        <w:rPr>
          <w:rFonts w:ascii="Times New Roman" w:hAnsi="Times New Roman" w:cs="Times New Roman"/>
        </w:rPr>
      </w:pPr>
      <w:r>
        <w:rPr>
          <w:rFonts w:cs="Times New Roman" w:ascii="Times New Roman" w:hAnsi="Times New Roman"/>
        </w:rPr>
        <w:t>Non aver riportato condanne penali, né sentenze di applicazione della pena su richiesta ai sensi dell'art. 444 c.p.p., per reati che incidano sulla moralità professionale.</w:t>
      </w:r>
    </w:p>
    <w:p>
      <w:pPr>
        <w:pStyle w:val="Heading2"/>
        <w:ind w:hanging="10" w:start="-5" w:end="11"/>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ART. 3 - MODALITÀ DI RICHIESTA E DOCUMENTAZIONE OBBLIGATORIA</w:t>
      </w:r>
    </w:p>
    <w:p>
      <w:pPr>
        <w:pStyle w:val="Normal"/>
        <w:spacing w:before="0" w:after="120"/>
        <w:ind w:hanging="10" w:start="-5" w:end="0"/>
        <w:rPr/>
      </w:pPr>
      <w:r>
        <w:rPr>
          <w:rFonts w:cs="Times New Roman" w:ascii="Times New Roman" w:hAnsi="Times New Roman"/>
        </w:rPr>
        <w:t>La domanda di iscrizione, redatta e compilata sotto forma di dichiarazione sostitutiva ai sensi del D.P.R. n. 445/2000, deve essere sottoscritta, a pena di inammissibilità ed esclusione, dalla seguente documentazione:</w:t>
      </w:r>
    </w:p>
    <w:p>
      <w:pPr>
        <w:pStyle w:val="Normal"/>
        <w:numPr>
          <w:ilvl w:val="0"/>
          <w:numId w:val="3"/>
        </w:numPr>
        <w:ind w:hanging="132" w:start="375" w:end="0"/>
        <w:rPr/>
      </w:pPr>
      <w:r>
        <w:rPr>
          <w:rFonts w:cs="Times New Roman" w:ascii="Times New Roman" w:hAnsi="Times New Roman"/>
          <w:b/>
        </w:rPr>
        <w:t>Curriculum Vitae in formato europeo</w:t>
      </w:r>
      <w:r>
        <w:rPr>
          <w:rFonts w:cs="Times New Roman" w:ascii="Times New Roman" w:hAnsi="Times New Roman"/>
        </w:rPr>
        <w:t>, datato e firmato, dal quale risultino analiticamente i titoli conseguiti (laurea, specializzazioni etc...), l'indicazione delle materie e delle principali tipologie di contenzioso trattate negli ultimi 5 anni, eventuali incarichi o collaborazioni con enti pubblici, corsi di formazione/aggiornamento e pubblicazioni scientifiche;</w:t>
      </w:r>
    </w:p>
    <w:p>
      <w:pPr>
        <w:pStyle w:val="Normal"/>
        <w:numPr>
          <w:ilvl w:val="0"/>
          <w:numId w:val="3"/>
        </w:numPr>
        <w:ind w:hanging="132" w:start="375" w:end="0"/>
        <w:rPr>
          <w:rFonts w:ascii="Times New Roman" w:hAnsi="Times New Roman" w:cs="Times New Roman"/>
        </w:rPr>
      </w:pPr>
      <w:r>
        <w:rPr>
          <w:rFonts w:cs="Times New Roman" w:ascii="Times New Roman" w:hAnsi="Times New Roman"/>
          <w:b/>
        </w:rPr>
        <w:t>Autocertificazione (ai sensi del D.P.R. 445/2000)</w:t>
      </w:r>
      <w:r>
        <w:rPr>
          <w:rFonts w:cs="Times New Roman" w:ascii="Times New Roman" w:hAnsi="Times New Roman"/>
        </w:rPr>
        <w:t xml:space="preserve"> attestante: iscrizione all'Albo con relativa decorrenza, eventuale iscrizione alle Giurisdizioni Superiori (per i legali abilitati), assenza di condanne penali, assenza di sanzioni disciplinari dell'Ordine, e l'insussistenza di situazioni di conflitto di interesse;</w:t>
      </w:r>
    </w:p>
    <w:p>
      <w:pPr>
        <w:pStyle w:val="Normal"/>
        <w:numPr>
          <w:ilvl w:val="0"/>
          <w:numId w:val="3"/>
        </w:numPr>
        <w:ind w:hanging="132" w:start="375" w:end="0"/>
        <w:rPr/>
      </w:pPr>
      <w:r>
        <w:rPr>
          <w:rFonts w:cs="Times New Roman" w:ascii="Times New Roman" w:hAnsi="Times New Roman"/>
        </w:rPr>
        <w:t>Indicazione del codice fiscale e del numero di partita IVA;</w:t>
      </w:r>
    </w:p>
    <w:p>
      <w:pPr>
        <w:pStyle w:val="Normal"/>
        <w:numPr>
          <w:ilvl w:val="0"/>
          <w:numId w:val="3"/>
        </w:numPr>
        <w:ind w:hanging="132" w:start="375" w:end="0"/>
        <w:rPr/>
      </w:pPr>
      <w:r>
        <w:rPr>
          <w:rFonts w:cs="Times New Roman" w:ascii="Times New Roman" w:hAnsi="Times New Roman"/>
          <w:b/>
        </w:rPr>
        <w:t>Dichiarazione formale di impegno</w:t>
      </w:r>
      <w:r>
        <w:rPr>
          <w:rFonts w:cs="Times New Roman" w:ascii="Times New Roman" w:hAnsi="Times New Roman"/>
        </w:rPr>
        <w:t xml:space="preserve"> a non assumere incarichi di rappresentanza, difesa o consulenza da soggetti pubblici o privati in posizione di conflitto, anche potenziale, con gli interessi dell'Ente</w:t>
      </w:r>
      <w:r>
        <w:rPr>
          <w:rFonts w:cs="Times New Roman" w:ascii="Times New Roman" w:hAnsi="Times New Roman"/>
          <w:szCs w:val="22"/>
          <w:u w:val="single"/>
        </w:rPr>
        <w:t xml:space="preserve"> per tutta la durata del rapporto professionale instaurato</w:t>
      </w:r>
      <w:r>
        <w:rPr>
          <w:rFonts w:cs="Times New Roman" w:ascii="Times New Roman" w:hAnsi="Times New Roman"/>
        </w:rPr>
        <w:t>;</w:t>
      </w:r>
    </w:p>
    <w:p>
      <w:pPr>
        <w:pStyle w:val="Normal"/>
        <w:numPr>
          <w:ilvl w:val="0"/>
          <w:numId w:val="3"/>
        </w:numPr>
        <w:ind w:hanging="132" w:start="375" w:end="0"/>
        <w:rPr/>
      </w:pPr>
      <w:r>
        <w:rPr>
          <w:rFonts w:cs="Times New Roman" w:ascii="Times New Roman" w:hAnsi="Times New Roman"/>
          <w:b/>
        </w:rPr>
        <w:t>Dichiarazione di accettazione integrale</w:t>
      </w:r>
      <w:r>
        <w:rPr>
          <w:rFonts w:cs="Times New Roman" w:ascii="Times New Roman" w:hAnsi="Times New Roman"/>
        </w:rPr>
        <w:t xml:space="preserve"> di tutte le disposizioni contenute nelle Linee Guida e nello "schema tipo" per l’incarico conferito, che verrà sottoscritto successivamente all’affidamento;</w:t>
      </w:r>
    </w:p>
    <w:p>
      <w:pPr>
        <w:pStyle w:val="Normal"/>
        <w:numPr>
          <w:ilvl w:val="0"/>
          <w:numId w:val="3"/>
        </w:numPr>
        <w:spacing w:before="0" w:after="224"/>
        <w:ind w:hanging="132" w:start="375" w:end="0"/>
        <w:rPr>
          <w:rFonts w:ascii="Times New Roman" w:hAnsi="Times New Roman" w:cs="Times New Roman"/>
        </w:rPr>
      </w:pPr>
      <w:r>
        <w:rPr>
          <w:rFonts w:cs="Times New Roman" w:ascii="Times New Roman" w:hAnsi="Times New Roman"/>
        </w:rPr>
        <w:t xml:space="preserve">Copia della </w:t>
      </w:r>
      <w:r>
        <w:rPr>
          <w:rFonts w:cs="Times New Roman" w:ascii="Times New Roman" w:hAnsi="Times New Roman"/>
          <w:b/>
        </w:rPr>
        <w:t>polizza assicurativa per la responsabilità civile professionale</w:t>
      </w:r>
      <w:r>
        <w:rPr>
          <w:rFonts w:cs="Times New Roman" w:ascii="Times New Roman" w:hAnsi="Times New Roman"/>
        </w:rPr>
        <w:t xml:space="preserve"> in corso di validità a copertura dei rischi derivanti dall'attività professionale.</w:t>
      </w:r>
    </w:p>
    <w:p>
      <w:pPr>
        <w:pStyle w:val="ListParagraph"/>
        <w:spacing w:lineRule="auto" w:line="259" w:before="0" w:after="35"/>
        <w:ind w:hanging="0" w:start="10" w:end="-3"/>
        <w:contextualSpacing/>
        <w:rPr/>
      </w:pPr>
      <w:r>
        <w:rPr/>
        <w:t>* Per gli studi legali associati o società tra Avvocati, i requisiti generali e la relativa documentazione devono essere riferiti e presentati per ciascun singolo componente.</w:t>
      </w:r>
    </w:p>
    <w:p>
      <w:pPr>
        <w:pStyle w:val="ListParagraph"/>
        <w:spacing w:lineRule="auto" w:line="259" w:before="0" w:after="35"/>
        <w:ind w:hanging="0" w:start="10" w:end="-3"/>
        <w:contextualSpacing/>
        <w:rPr/>
      </w:pPr>
      <w:r>
        <w:rPr/>
      </w:r>
    </w:p>
    <w:p>
      <w:pPr>
        <w:pStyle w:val="Heading2"/>
        <w:ind w:hanging="10" w:start="-5" w:end="11"/>
        <w:rPr/>
      </w:pPr>
      <w:r>
        <w:rPr>
          <w:rFonts w:cs="Times New Roman" w:ascii="Times New Roman" w:hAnsi="Times New Roman"/>
        </w:rPr>
        <w:t xml:space="preserve"> </w:t>
      </w:r>
      <w:r>
        <w:rPr>
          <w:rFonts w:cs="Times New Roman" w:ascii="Times New Roman" w:hAnsi="Times New Roman"/>
        </w:rPr>
        <w:t>ART. 4 - TERMINI, FORMAZIONE E AGGIORNAMENTO DELL'ALBO</w:t>
      </w:r>
    </w:p>
    <w:p>
      <w:pPr>
        <w:pStyle w:val="Heading2"/>
        <w:ind w:hanging="10" w:start="-5" w:end="11"/>
        <w:jc w:val="both"/>
        <w:rPr/>
      </w:pPr>
      <w:r>
        <w:rPr>
          <w:rFonts w:cs="Times New Roman" w:ascii="Times New Roman" w:hAnsi="Times New Roman"/>
        </w:rPr>
        <w:tab/>
        <w:tab/>
      </w:r>
      <w:r>
        <w:rPr>
          <w:rFonts w:cs="Times New Roman" w:ascii="Times New Roman" w:hAnsi="Times New Roman"/>
          <w:b w:val="false"/>
        </w:rPr>
        <w:t>Le istanze d’iscrizione dovranno pervenire con le modalità di cio al successivo art. 7 (Modalità di partecipazione),</w:t>
      </w:r>
      <w:r>
        <w:rPr>
          <w:rFonts w:cs="Times New Roman" w:ascii="Times New Roman" w:hAnsi="Times New Roman"/>
        </w:rPr>
        <w:t xml:space="preserve"> i nominativi dei professionisti in possesso dei requisiti saranno inseriti nelle rispettive sezioni in ordine strettamente alfabetico.</w:t>
      </w:r>
    </w:p>
    <w:p>
      <w:pPr>
        <w:pStyle w:val="Normal"/>
        <w:ind w:hanging="0" w:start="-15" w:end="0"/>
        <w:rPr/>
      </w:pPr>
      <w:r>
        <w:rPr>
          <w:rFonts w:cs="Times New Roman" w:ascii="Times New Roman" w:hAnsi="Times New Roman"/>
        </w:rPr>
        <w:t xml:space="preserve">L'Albo ha carattere aperto ed è soggetto a </w:t>
      </w:r>
      <w:r>
        <w:rPr>
          <w:rFonts w:cs="Times New Roman" w:ascii="Times New Roman" w:hAnsi="Times New Roman"/>
          <w:b/>
        </w:rPr>
        <w:t>revisione e aggiornamento periodico, con cadenza biennale.</w:t>
      </w:r>
    </w:p>
    <w:p>
      <w:pPr>
        <w:pStyle w:val="Normal"/>
        <w:ind w:hanging="0" w:start="-15" w:end="0"/>
        <w:rPr/>
      </w:pPr>
      <w:r>
        <w:rPr>
          <w:rFonts w:cs="Times New Roman" w:ascii="Times New Roman" w:hAnsi="Times New Roman"/>
        </w:rPr>
        <w:t xml:space="preserve">Le istanze pervenute </w:t>
      </w:r>
      <w:r>
        <w:rPr>
          <w:rFonts w:cs="Times New Roman" w:ascii="Times New Roman" w:hAnsi="Times New Roman"/>
          <w:i/>
        </w:rPr>
        <w:t>medio tempore</w:t>
      </w:r>
      <w:r>
        <w:rPr>
          <w:rFonts w:cs="Times New Roman" w:ascii="Times New Roman" w:hAnsi="Times New Roman"/>
        </w:rPr>
        <w:t xml:space="preserve"> verranno istruite ed inserite nell'elenco </w:t>
      </w:r>
      <w:r>
        <w:rPr>
          <w:rFonts w:cs="Times New Roman" w:ascii="Times New Roman" w:hAnsi="Times New Roman"/>
          <w:b/>
        </w:rPr>
        <w:t>dell’anno di scadenza del biennio previa istruttoria delle istanze nel frattempo all’opo pervenute</w:t>
      </w:r>
      <w:r>
        <w:rPr>
          <w:rFonts w:cs="Times New Roman" w:ascii="Times New Roman" w:hAnsi="Times New Roman"/>
        </w:rPr>
        <w:t>. Il Comune di Trapani si riserva la facoltà di verificare, anche a campione e in sede di effettivo conferimento dell'incarico, la veridicità delle dichiarazioni rese e la regolarità contributiva.</w:t>
      </w:r>
    </w:p>
    <w:p>
      <w:pPr>
        <w:pStyle w:val="Heading2"/>
        <w:ind w:hanging="10" w:start="-5" w:end="11"/>
        <w:rPr/>
      </w:pPr>
      <w:r>
        <w:rPr>
          <w:rFonts w:cs="Times New Roman" w:ascii="Times New Roman" w:hAnsi="Times New Roman"/>
        </w:rPr>
        <w:t xml:space="preserve"> </w:t>
      </w:r>
      <w:r>
        <w:rPr>
          <w:rFonts w:cs="Times New Roman" w:ascii="Times New Roman" w:hAnsi="Times New Roman"/>
        </w:rPr>
        <w:t>ART. 5 - CRITERI DI AFFIDAMENTO DEGLI INCARICHI</w:t>
      </w:r>
    </w:p>
    <w:p>
      <w:pPr>
        <w:pStyle w:val="ListParagraph"/>
        <w:tabs>
          <w:tab w:val="clear" w:pos="708"/>
          <w:tab w:val="left" w:pos="863" w:leader="none"/>
        </w:tabs>
        <w:spacing w:before="138" w:after="0"/>
        <w:ind w:hanging="0" w:start="0" w:end="11"/>
        <w:rPr/>
      </w:pPr>
      <w:r>
        <w:rPr>
          <w:szCs w:val="22"/>
        </w:rPr>
        <w:t>Qualora la rappresentanza e la difesa dell’Ente non possano essere affidate all’Avvocatura comunale,</w:t>
      </w:r>
      <w:r>
        <w:rPr>
          <w:b/>
          <w:bCs/>
          <w:szCs w:val="22"/>
        </w:rPr>
        <w:t xml:space="preserve"> la Giunta Comunale</w:t>
      </w:r>
      <w:r>
        <w:rPr>
          <w:szCs w:val="22"/>
        </w:rPr>
        <w:t xml:space="preserve"> contestualmente all’autorizzazione al Sindaco per la costituzione in giudizio, conferisce l’incarico ad un professionista iscritto nell’albo degli Avvocati dell’Ente. Il Professionista è individuato previa istruttoria dell’ufficio legale, in relazione alla natura e alla tipologia del contenzioso, nel rispetto del principio di rotazione tra gli iscritti all’albo, al fine di evitare cumulo di incarichi in capo ai medesimi professionisti e tenendo conto della specifica competenza e della sezione cui il professionista risulta iscritto.</w:t>
      </w:r>
    </w:p>
    <w:p>
      <w:pPr>
        <w:pStyle w:val="ListParagraph"/>
        <w:tabs>
          <w:tab w:val="clear" w:pos="708"/>
          <w:tab w:val="left" w:pos="863" w:leader="none"/>
        </w:tabs>
        <w:spacing w:before="138" w:after="0"/>
        <w:ind w:hanging="0" w:start="10" w:end="151"/>
        <w:rPr/>
      </w:pPr>
      <w:r>
        <w:rPr>
          <w:b/>
          <w:bCs/>
          <w:szCs w:val="22"/>
        </w:rPr>
        <w:t>1</w:t>
      </w:r>
      <w:r>
        <w:rPr>
          <w:szCs w:val="22"/>
        </w:rPr>
        <w:t xml:space="preserve">. Resta in facoltà dell’Amministrazione, al fine di compiere le valutazioni prodromiche al conferimento dell’incarico, di richiedere, la consultazione di piu’ professionisti  iscritti nella </w:t>
      </w:r>
      <w:r>
        <w:rPr>
          <w:i/>
          <w:iCs/>
          <w:szCs w:val="22"/>
        </w:rPr>
        <w:t>short list,</w:t>
      </w:r>
      <w:r>
        <w:rPr>
          <w:szCs w:val="22"/>
        </w:rPr>
        <w:t xml:space="preserve"> secondo i criteri sopra indicati e nel rispetto del principio di rotazione tra gli iscritti, anche al fine di acquisire i relativi preventivi di parcella.</w:t>
      </w:r>
    </w:p>
    <w:p>
      <w:pPr>
        <w:pStyle w:val="ListParagraph"/>
        <w:tabs>
          <w:tab w:val="clear" w:pos="708"/>
          <w:tab w:val="left" w:pos="863" w:leader="none"/>
        </w:tabs>
        <w:spacing w:before="138" w:after="0"/>
        <w:ind w:hanging="0" w:start="10" w:end="151"/>
        <w:rPr/>
      </w:pPr>
      <w:r>
        <w:rPr>
          <w:b/>
          <w:bCs/>
          <w:szCs w:val="22"/>
        </w:rPr>
        <w:t>2</w:t>
      </w:r>
      <w:r>
        <w:rPr>
          <w:szCs w:val="22"/>
        </w:rPr>
        <w:t>. L’incarico verrà conferito alle condizioni previste dallo schema “tipo disciplinare”</w:t>
      </w:r>
      <w:r>
        <w:rPr>
          <w:spacing w:val="40"/>
          <w:szCs w:val="22"/>
        </w:rPr>
        <w:t xml:space="preserve"> che sarà sottoscritto successivamente al conferimento dell’incarico.</w:t>
      </w:r>
    </w:p>
    <w:p>
      <w:pPr>
        <w:pStyle w:val="ListParagraph"/>
        <w:tabs>
          <w:tab w:val="clear" w:pos="708"/>
          <w:tab w:val="left" w:pos="863" w:leader="none"/>
        </w:tabs>
        <w:spacing w:before="139" w:after="0"/>
        <w:ind w:hanging="0" w:start="10" w:end="155"/>
        <w:rPr/>
      </w:pPr>
      <w:r>
        <w:rPr>
          <w:szCs w:val="22"/>
        </w:rPr>
        <w:t>3. Successivamente all’adozione della Deliberazione di giunta Municipale di conferimento dell’incarico,</w:t>
      </w:r>
      <w:r>
        <w:rPr>
          <w:b/>
          <w:bCs/>
          <w:szCs w:val="22"/>
        </w:rPr>
        <w:t xml:space="preserve"> </w:t>
      </w:r>
      <w:r>
        <w:rPr>
          <w:szCs w:val="22"/>
        </w:rPr>
        <w:t>il  I Settore, nel cui ambito è incardinato l’Ufficio legale, provvederà ad impegnare la relativa spesa, come autorizzata dalla Giunta nell’atto di determinazione di costituzione in giudizio; la formale sottoscrizione del disciplinare di incarico avverrà contestualmente all’accettazione dell’incarico da parte del professionista,</w:t>
      </w:r>
      <w:r>
        <w:rPr>
          <w:spacing w:val="-1"/>
          <w:szCs w:val="22"/>
        </w:rPr>
        <w:t xml:space="preserve"> il quale è tenuto a rendere </w:t>
      </w:r>
      <w:r>
        <w:rPr>
          <w:szCs w:val="22"/>
        </w:rPr>
        <w:t>apposita</w:t>
      </w:r>
      <w:r>
        <w:rPr>
          <w:spacing w:val="-1"/>
          <w:szCs w:val="22"/>
        </w:rPr>
        <w:t xml:space="preserve"> </w:t>
      </w:r>
      <w:r>
        <w:rPr>
          <w:szCs w:val="22"/>
        </w:rPr>
        <w:t>dichiarazione</w:t>
      </w:r>
      <w:r>
        <w:rPr>
          <w:spacing w:val="-1"/>
          <w:szCs w:val="22"/>
        </w:rPr>
        <w:t xml:space="preserve"> </w:t>
      </w:r>
      <w:r>
        <w:rPr>
          <w:szCs w:val="22"/>
        </w:rPr>
        <w:t>di</w:t>
      </w:r>
      <w:r>
        <w:rPr>
          <w:spacing w:val="-1"/>
          <w:szCs w:val="22"/>
        </w:rPr>
        <w:t xml:space="preserve"> impegno a </w:t>
      </w:r>
      <w:r>
        <w:rPr>
          <w:szCs w:val="22"/>
        </w:rPr>
        <w:t>non assumere incarichi da terz</w:t>
      </w:r>
      <w:r>
        <w:rPr>
          <w:szCs w:val="22"/>
          <w:u w:val="single"/>
        </w:rPr>
        <w:t>i, soggetti pubblici o privati in conflitto con gli interessi del Comune di Trapani</w:t>
      </w:r>
      <w:bookmarkStart w:id="1" w:name="__DdeLink__33937_411404092"/>
      <w:r>
        <w:rPr>
          <w:szCs w:val="22"/>
          <w:u w:val="single"/>
        </w:rPr>
        <w:t xml:space="preserve"> per tutta la durata del rapporto professionale instaurato,</w:t>
      </w:r>
      <w:bookmarkEnd w:id="1"/>
      <w:r>
        <w:rPr>
          <w:szCs w:val="22"/>
        </w:rPr>
        <w:t xml:space="preserve"> inoltre il professionista dovrà dichiarare l’inesistenza di situazioni di conflitto di interessi, anche potenziale, in relazione all’incarico conferito, nel rispetto delle</w:t>
      </w:r>
      <w:r>
        <w:rPr>
          <w:spacing w:val="40"/>
          <w:szCs w:val="22"/>
        </w:rPr>
        <w:t xml:space="preserve"> </w:t>
      </w:r>
      <w:r>
        <w:rPr>
          <w:szCs w:val="22"/>
        </w:rPr>
        <w:t>disposizioni dal Codice deontologico forense e del Codice di comportamento adottato dal Comune di Trapani. L’inosservanza di tali obblighi costituisce causa di risoluzione del rapporto contrattuale.</w:t>
      </w:r>
    </w:p>
    <w:p>
      <w:pPr>
        <w:pStyle w:val="ListParagraph"/>
        <w:tabs>
          <w:tab w:val="clear" w:pos="708"/>
          <w:tab w:val="left" w:pos="863" w:leader="none"/>
        </w:tabs>
        <w:spacing w:before="138" w:after="0"/>
        <w:ind w:hanging="0" w:start="10" w:end="154"/>
        <w:rPr/>
      </w:pPr>
      <w:r>
        <w:rPr>
          <w:szCs w:val="22"/>
        </w:rPr>
        <w:t xml:space="preserve">4. Di norma non possono essere conferiti incarichi congiunti a più Avvocati iscritti all’Albo, salvo i casi eccezionali in cui la particolare complessità dell’incarico richieda competenze specifiche in differenti rami del diritto, ovvero renda necessaria la costituzione di un collegio difensivo. In tali ipotesi, il provvedimento di conferimento dovrà essere adeguatamente motivato con riferimento alle esigenze di natura tecnica e professionale sottese alla scelta e l’incarico è considerato unico ai fini del </w:t>
      </w:r>
      <w:r>
        <w:rPr>
          <w:spacing w:val="-2"/>
          <w:szCs w:val="22"/>
        </w:rPr>
        <w:t>compenso.</w:t>
      </w:r>
    </w:p>
    <w:p>
      <w:pPr>
        <w:pStyle w:val="ListParagraph"/>
        <w:tabs>
          <w:tab w:val="clear" w:pos="708"/>
          <w:tab w:val="left" w:pos="863" w:leader="none"/>
        </w:tabs>
        <w:spacing w:before="138" w:after="0"/>
        <w:ind w:hanging="0" w:start="10" w:end="165"/>
        <w:rPr/>
      </w:pPr>
      <w:r>
        <w:rPr>
          <w:szCs w:val="22"/>
        </w:rPr>
        <w:t xml:space="preserve">5. Le principali condizioni dell’incarico sono contenute nello </w:t>
      </w:r>
      <w:r>
        <w:rPr>
          <w:i/>
          <w:iCs/>
          <w:szCs w:val="22"/>
        </w:rPr>
        <w:t>schema tipo</w:t>
      </w:r>
      <w:r>
        <w:rPr>
          <w:szCs w:val="22"/>
        </w:rPr>
        <w:t xml:space="preserve"> del disciplinare,</w:t>
      </w:r>
      <w:r>
        <w:rPr>
          <w:spacing w:val="40"/>
          <w:szCs w:val="22"/>
        </w:rPr>
        <w:t xml:space="preserve"> </w:t>
      </w:r>
      <w:r>
        <w:rPr>
          <w:szCs w:val="22"/>
        </w:rPr>
        <w:t>che il professionista è tenuto a sottoscrivere a seguito del conferimento attribuitogli.</w:t>
      </w:r>
    </w:p>
    <w:p>
      <w:pPr>
        <w:pStyle w:val="ListParagraph"/>
        <w:tabs>
          <w:tab w:val="clear" w:pos="708"/>
          <w:tab w:val="left" w:pos="863" w:leader="none"/>
        </w:tabs>
        <w:spacing w:before="138" w:after="0"/>
        <w:ind w:hanging="0" w:start="10" w:end="165"/>
        <w:rPr>
          <w:szCs w:val="22"/>
        </w:rPr>
      </w:pPr>
      <w:r>
        <w:rPr>
          <w:szCs w:val="22"/>
        </w:rPr>
      </w:r>
    </w:p>
    <w:p>
      <w:pPr>
        <w:pStyle w:val="Normal"/>
        <w:pBdr>
          <w:top w:val="single" w:sz="6" w:space="0" w:color="D1DBE5"/>
          <w:left w:val="single" w:sz="6" w:space="0" w:color="D1DBE5"/>
          <w:bottom w:val="single" w:sz="6" w:space="0" w:color="D1DBE5"/>
          <w:right w:val="single" w:sz="6" w:space="0" w:color="D1DBE5"/>
        </w:pBdr>
        <w:shd w:val="clear" w:color="auto" w:fill="F4F7FA"/>
        <w:spacing w:before="0" w:after="463"/>
        <w:ind w:hanging="0" w:start="240" w:end="251"/>
        <w:rPr/>
      </w:pPr>
      <w:r>
        <w:rPr>
          <w:rFonts w:cs="Times New Roman" w:ascii="Times New Roman" w:hAnsi="Times New Roman"/>
          <w:b/>
          <w:i/>
        </w:rPr>
        <w:t>Nota sulle deroghe d'eccellenza:</w:t>
      </w:r>
      <w:r>
        <w:rPr>
          <w:rFonts w:cs="Times New Roman" w:ascii="Times New Roman" w:hAnsi="Times New Roman"/>
          <w:i/>
        </w:rPr>
        <w:t xml:space="preserve"> L'Amministrazione si riserva la facoltà eccezionale di affidare incarichi a professionisti non inseriti nell'elenco (quali docenti universitari di chiara fama o professionisti di specchiata autorevolezza specialistica) in caso di controversie di straordinaria complessità giuridica o per motivi di connessione e consequenzialità con giudizi pregressi, previa apposita relazione istruttoria dell'Avvocatura Comunale e puntuale motivazione dell'atto.</w:t>
      </w:r>
    </w:p>
    <w:p>
      <w:pPr>
        <w:pStyle w:val="Normal"/>
        <w:rPr/>
      </w:pPr>
      <w:r>
        <w:rPr>
          <w:rFonts w:cs="Times New Roman" w:ascii="Times New Roman" w:hAnsi="Times New Roman"/>
          <w:b/>
          <w:bCs/>
          <w:color w:val="0066B3"/>
          <w:szCs w:val="22"/>
        </w:rPr>
        <w:t xml:space="preserve">ART. 6  - </w:t>
      </w:r>
      <w:r>
        <w:rPr>
          <w:rFonts w:cs="Times New Roman" w:ascii="Times New Roman" w:hAnsi="Times New Roman"/>
          <w:b/>
          <w:bCs/>
          <w:color w:val="0066B3"/>
          <w:sz w:val="20"/>
          <w:szCs w:val="20"/>
        </w:rPr>
        <w:t>DISPOSIZIONI IN MATERIA DI EQUO COMPENSO DELLE PRESTAZIONI PROFESSIONALI</w:t>
      </w:r>
    </w:p>
    <w:p>
      <w:pPr>
        <w:pStyle w:val="Normal"/>
        <w:rPr/>
      </w:pPr>
      <w:r>
        <w:rPr>
          <w:rFonts w:cs="Times New Roman" w:ascii="Times New Roman" w:hAnsi="Times New Roman"/>
          <w:bCs/>
          <w:szCs w:val="22"/>
        </w:rPr>
        <w:t xml:space="preserve">Nel rispetto della normativa vigente, la determinazione e la corresponsione dei compensi per le prestazioni professionali derivanti dal conferimento di singoli incarichi di patrocinio e rappresentanza legale ai professionisti iscritti nella presente Short List sono regolate dalle disposizioni di cui alla </w:t>
      </w:r>
      <w:r>
        <w:rPr>
          <w:rFonts w:cs="Times New Roman" w:ascii="Times New Roman" w:hAnsi="Times New Roman"/>
          <w:szCs w:val="22"/>
        </w:rPr>
        <w:t>Legge 21 aprile 2023, n. 49</w:t>
      </w:r>
      <w:r>
        <w:rPr>
          <w:rFonts w:cs="Times New Roman" w:ascii="Times New Roman" w:hAnsi="Times New Roman"/>
          <w:bCs/>
          <w:szCs w:val="22"/>
        </w:rPr>
        <w:t xml:space="preserve"> (“</w:t>
      </w:r>
      <w:r>
        <w:rPr>
          <w:rFonts w:cs="Times New Roman" w:ascii="Times New Roman" w:hAnsi="Times New Roman"/>
          <w:bCs/>
          <w:i/>
          <w:szCs w:val="22"/>
        </w:rPr>
        <w:t>Disposizioni in materia di equo compenso delle prestazioni professionali”</w:t>
      </w:r>
      <w:r>
        <w:rPr>
          <w:rFonts w:cs="Times New Roman" w:ascii="Times New Roman" w:hAnsi="Times New Roman"/>
          <w:bCs/>
          <w:szCs w:val="22"/>
        </w:rPr>
        <w:t>, pubblicata sulla G.U. n. 104 del 05/05/2023 ed in vigore dal 20 maggio 2023) la quale:</w:t>
      </w:r>
    </w:p>
    <w:p>
      <w:pPr>
        <w:pStyle w:val="Normal"/>
        <w:rPr>
          <w:rFonts w:cs="Times New Roman"/>
          <w:bCs/>
        </w:rPr>
      </w:pPr>
      <w:r>
        <w:rPr>
          <w:rFonts w:cs="Times New Roman"/>
          <w:bCs/>
        </w:rPr>
      </w:r>
    </w:p>
    <w:p>
      <w:pPr>
        <w:pStyle w:val="Default"/>
        <w:numPr>
          <w:ilvl w:val="0"/>
          <w:numId w:val="5"/>
        </w:numPr>
        <w:jc w:val="both"/>
        <w:rPr/>
      </w:pPr>
      <w:r>
        <w:rPr/>
        <w:t>all’art. 2, estende l’ambito di applicazione anche alle prestazioni rese dai liberi professionisti in favore delle Pubbliche Amministrazioni, a tutela della qualità dell’attività professionale e in coerenza con i principi costituzionale di imparzialità e buon andamento dell’amministrazione di cui all’art. 97 della Costituzione, nonchè con i principi di trasparenza, efficienza, efficacia ed economicità dell'azione amministrativa (L. n. 241/1990);</w:t>
      </w:r>
    </w:p>
    <w:p>
      <w:pPr>
        <w:pStyle w:val="Default"/>
        <w:ind w:hanging="10" w:start="720" w:end="11"/>
        <w:jc w:val="both"/>
        <w:rPr/>
      </w:pPr>
      <w:r>
        <w:rPr/>
      </w:r>
    </w:p>
    <w:p>
      <w:pPr>
        <w:pStyle w:val="Default"/>
        <w:numPr>
          <w:ilvl w:val="0"/>
          <w:numId w:val="5"/>
        </w:numPr>
        <w:jc w:val="both"/>
        <w:rPr/>
      </w:pPr>
      <w:r>
        <w:rPr/>
        <w:t xml:space="preserve">disciplina le </w:t>
      </w:r>
      <w:r>
        <w:rPr>
          <w:i/>
          <w:iCs/>
        </w:rPr>
        <w:t>disposizioni in materia di equo compenso delle prestazioni professionali</w:t>
      </w:r>
      <w:r>
        <w:rPr/>
        <w:t>, la quale all’art. 1, comma 1, definisce, con  riferimento alla professione forense, l’equo compenso come quello proporzionato alla quantità e alla qualità del lavoro svolto, al contenuto e alle caratteristiche della prestazione professionale, nonché conforme ai parametri previsti per gli avvocati, dal decreto del Ministro della giustizia emanato con cadenza biennale ai sensi dell'articolo 13, comma 6, della legge 31 dicembre 2012, n. 247  recante la “</w:t>
      </w:r>
      <w:r>
        <w:rPr>
          <w:i/>
        </w:rPr>
        <w:t>Nuova disciplina dell’ordinamento della professione forense</w:t>
      </w:r>
      <w:r>
        <w:rPr/>
        <w:t>“; parametri attualmente disciplinati dal</w:t>
      </w:r>
      <w:r>
        <w:rPr>
          <w:color w:val="0B0B0E"/>
        </w:rPr>
        <w:t xml:space="preserve"> </w:t>
      </w:r>
      <w:r>
        <w:rPr/>
        <w:t>D.M. n 10/03/2014, n. 55 e ss.mm.ii., da ultimo aggiornato dal citato decreto del Ministro della giustizia 13 agosto 2022, n. 147</w:t>
      </w:r>
      <w:r>
        <w:rPr>
          <w:b/>
        </w:rPr>
        <w:t>;</w:t>
      </w:r>
    </w:p>
    <w:p>
      <w:pPr>
        <w:pStyle w:val="ListParagraph"/>
        <w:rPr/>
      </w:pPr>
      <w:r>
        <w:rPr/>
      </w:r>
    </w:p>
    <w:p>
      <w:pPr>
        <w:pStyle w:val="Default"/>
        <w:numPr>
          <w:ilvl w:val="0"/>
          <w:numId w:val="5"/>
        </w:numPr>
        <w:tabs>
          <w:tab w:val="clear" w:pos="708"/>
          <w:tab w:val="left" w:pos="-2520" w:leader="none"/>
        </w:tabs>
        <w:jc w:val="both"/>
        <w:rPr/>
      </w:pPr>
      <w:r>
        <w:rPr>
          <w:bCs/>
        </w:rPr>
        <w:t>all’art. 3 prevede la nullità delle clausole che non prevedono un compenso equo e proporzionato alla prestazione professionale resa, precisando che sono tali le pattuizioni che prevedano un compenso inferiore ai valori stabiliti dai parametri ministeriali di riferimento;</w:t>
      </w:r>
    </w:p>
    <w:p>
      <w:pPr>
        <w:pStyle w:val="Default"/>
        <w:tabs>
          <w:tab w:val="clear" w:pos="708"/>
          <w:tab w:val="left" w:pos="-2520" w:leader="none"/>
        </w:tabs>
        <w:ind w:hanging="10" w:start="720" w:end="11"/>
        <w:jc w:val="both"/>
        <w:rPr>
          <w:bCs/>
        </w:rPr>
      </w:pPr>
      <w:r>
        <w:rPr>
          <w:bCs/>
        </w:rPr>
      </w:r>
    </w:p>
    <w:p>
      <w:pPr>
        <w:pStyle w:val="Heading2"/>
        <w:ind w:hanging="10" w:start="-5" w:end="11"/>
        <w:rPr/>
      </w:pPr>
      <w:r>
        <w:rPr>
          <w:rFonts w:cs="Times New Roman" w:ascii="Times New Roman" w:hAnsi="Times New Roman"/>
          <w:bCs/>
          <w:color w:val="000000"/>
        </w:rPr>
        <w:t>Gli incarichi saranno disciplinati dalle condizioni e modalità riportate nel relativo disciplinare di incarico, che sarà sottoscritto dal professionista a seguito del conferimento attribuitogli.</w:t>
      </w:r>
    </w:p>
    <w:p>
      <w:pPr>
        <w:pStyle w:val="Heading2"/>
        <w:ind w:hanging="10" w:start="-5" w:end="11"/>
        <w:rPr/>
      </w:pPr>
      <w:r>
        <w:rPr>
          <w:rFonts w:cs="Times New Roman" w:ascii="Times New Roman" w:hAnsi="Times New Roman"/>
        </w:rPr>
        <w:t xml:space="preserve"> </w:t>
      </w:r>
      <w:r>
        <w:rPr>
          <w:rFonts w:cs="Times New Roman" w:ascii="Times New Roman" w:hAnsi="Times New Roman"/>
        </w:rPr>
        <w:t>ART. 7 - CAUSE DI CANCELLAZIONE E DECADENZA</w:t>
      </w:r>
    </w:p>
    <w:p>
      <w:pPr>
        <w:pStyle w:val="Normal"/>
        <w:ind w:hanging="10" w:start="-5" w:end="0"/>
        <w:rPr/>
      </w:pPr>
      <w:r>
        <w:rPr>
          <w:rFonts w:cs="Times New Roman" w:ascii="Times New Roman" w:hAnsi="Times New Roman"/>
        </w:rPr>
        <w:tab/>
        <w:tab/>
        <w:tab/>
      </w:r>
      <w:r>
        <w:rPr>
          <w:rFonts w:cs="Times New Roman" w:ascii="Times New Roman" w:hAnsi="Times New Roman"/>
          <w:szCs w:val="22"/>
        </w:rPr>
        <w:t>È</w:t>
      </w:r>
      <w:r>
        <w:rPr>
          <w:rFonts w:cs="Times New Roman" w:ascii="Times New Roman" w:hAnsi="Times New Roman"/>
          <w:spacing w:val="-7"/>
          <w:szCs w:val="22"/>
        </w:rPr>
        <w:t xml:space="preserve"> </w:t>
      </w:r>
      <w:r>
        <w:rPr>
          <w:rFonts w:cs="Times New Roman" w:ascii="Times New Roman" w:hAnsi="Times New Roman"/>
          <w:szCs w:val="22"/>
        </w:rPr>
        <w:t>disposta</w:t>
      </w:r>
      <w:r>
        <w:rPr>
          <w:rFonts w:cs="Times New Roman" w:ascii="Times New Roman" w:hAnsi="Times New Roman"/>
          <w:spacing w:val="-5"/>
          <w:szCs w:val="22"/>
        </w:rPr>
        <w:t xml:space="preserve"> </w:t>
      </w:r>
      <w:r>
        <w:rPr>
          <w:rFonts w:cs="Times New Roman" w:ascii="Times New Roman" w:hAnsi="Times New Roman"/>
          <w:szCs w:val="22"/>
        </w:rPr>
        <w:t>la</w:t>
      </w:r>
      <w:r>
        <w:rPr>
          <w:rFonts w:cs="Times New Roman" w:ascii="Times New Roman" w:hAnsi="Times New Roman"/>
          <w:spacing w:val="-4"/>
          <w:szCs w:val="22"/>
        </w:rPr>
        <w:t xml:space="preserve"> </w:t>
      </w:r>
      <w:r>
        <w:rPr>
          <w:rFonts w:cs="Times New Roman" w:ascii="Times New Roman" w:hAnsi="Times New Roman"/>
          <w:szCs w:val="22"/>
        </w:rPr>
        <w:t>cancellazione</w:t>
      </w:r>
      <w:r>
        <w:rPr>
          <w:rFonts w:cs="Times New Roman" w:ascii="Times New Roman" w:hAnsi="Times New Roman"/>
          <w:spacing w:val="-5"/>
          <w:szCs w:val="22"/>
        </w:rPr>
        <w:t xml:space="preserve"> </w:t>
      </w:r>
      <w:r>
        <w:rPr>
          <w:rFonts w:cs="Times New Roman" w:ascii="Times New Roman" w:hAnsi="Times New Roman"/>
          <w:szCs w:val="22"/>
        </w:rPr>
        <w:t>dall’Elenco</w:t>
      </w:r>
      <w:r>
        <w:rPr>
          <w:rFonts w:cs="Times New Roman" w:ascii="Times New Roman" w:hAnsi="Times New Roman"/>
          <w:spacing w:val="-4"/>
          <w:szCs w:val="22"/>
        </w:rPr>
        <w:t xml:space="preserve"> </w:t>
      </w:r>
      <w:r>
        <w:rPr>
          <w:rFonts w:cs="Times New Roman" w:ascii="Times New Roman" w:hAnsi="Times New Roman"/>
          <w:szCs w:val="22"/>
        </w:rPr>
        <w:t>dei</w:t>
      </w:r>
      <w:r>
        <w:rPr>
          <w:rFonts w:cs="Times New Roman" w:ascii="Times New Roman" w:hAnsi="Times New Roman"/>
          <w:spacing w:val="-4"/>
          <w:szCs w:val="22"/>
        </w:rPr>
        <w:t xml:space="preserve"> </w:t>
      </w:r>
      <w:r>
        <w:rPr>
          <w:rFonts w:cs="Times New Roman" w:ascii="Times New Roman" w:hAnsi="Times New Roman"/>
          <w:spacing w:val="-2"/>
          <w:szCs w:val="22"/>
        </w:rPr>
        <w:t>professionisti:</w:t>
      </w:r>
    </w:p>
    <w:p>
      <w:pPr>
        <w:pStyle w:val="ListParagraph"/>
        <w:numPr>
          <w:ilvl w:val="1"/>
          <w:numId w:val="6"/>
        </w:numPr>
        <w:tabs>
          <w:tab w:val="clear" w:pos="708"/>
          <w:tab w:val="left" w:pos="781" w:leader="none"/>
        </w:tabs>
        <w:ind w:hanging="128" w:start="781" w:end="11"/>
        <w:rPr/>
      </w:pPr>
      <w:r>
        <w:rPr>
          <w:szCs w:val="22"/>
        </w:rPr>
        <w:t xml:space="preserve"> </w:t>
      </w:r>
      <w:r>
        <w:rPr>
          <w:szCs w:val="22"/>
        </w:rPr>
        <w:t>che</w:t>
      </w:r>
      <w:r>
        <w:rPr>
          <w:spacing w:val="-4"/>
          <w:szCs w:val="22"/>
        </w:rPr>
        <w:t xml:space="preserve"> </w:t>
      </w:r>
      <w:r>
        <w:rPr>
          <w:szCs w:val="22"/>
        </w:rPr>
        <w:t>abbiano</w:t>
      </w:r>
      <w:r>
        <w:rPr>
          <w:spacing w:val="-3"/>
          <w:szCs w:val="22"/>
        </w:rPr>
        <w:t xml:space="preserve"> </w:t>
      </w:r>
      <w:r>
        <w:rPr>
          <w:szCs w:val="22"/>
        </w:rPr>
        <w:t>perso</w:t>
      </w:r>
      <w:r>
        <w:rPr>
          <w:spacing w:val="-3"/>
          <w:szCs w:val="22"/>
        </w:rPr>
        <w:t xml:space="preserve"> </w:t>
      </w:r>
      <w:r>
        <w:rPr>
          <w:szCs w:val="22"/>
        </w:rPr>
        <w:t>i</w:t>
      </w:r>
      <w:r>
        <w:rPr>
          <w:spacing w:val="-4"/>
          <w:szCs w:val="22"/>
        </w:rPr>
        <w:t xml:space="preserve"> </w:t>
      </w:r>
      <w:r>
        <w:rPr>
          <w:szCs w:val="22"/>
        </w:rPr>
        <w:t>requisiti</w:t>
      </w:r>
      <w:r>
        <w:rPr>
          <w:spacing w:val="-3"/>
          <w:szCs w:val="22"/>
        </w:rPr>
        <w:t xml:space="preserve"> </w:t>
      </w:r>
      <w:r>
        <w:rPr>
          <w:szCs w:val="22"/>
        </w:rPr>
        <w:t>per</w:t>
      </w:r>
      <w:r>
        <w:rPr>
          <w:spacing w:val="-3"/>
          <w:szCs w:val="22"/>
        </w:rPr>
        <w:t xml:space="preserve"> </w:t>
      </w:r>
      <w:r>
        <w:rPr>
          <w:szCs w:val="22"/>
        </w:rPr>
        <w:t>essere</w:t>
      </w:r>
      <w:r>
        <w:rPr>
          <w:spacing w:val="-4"/>
          <w:szCs w:val="22"/>
        </w:rPr>
        <w:t xml:space="preserve"> </w:t>
      </w:r>
      <w:r>
        <w:rPr>
          <w:szCs w:val="22"/>
        </w:rPr>
        <w:t>inseriti</w:t>
      </w:r>
      <w:r>
        <w:rPr>
          <w:spacing w:val="-3"/>
          <w:szCs w:val="22"/>
        </w:rPr>
        <w:t xml:space="preserve"> </w:t>
      </w:r>
      <w:r>
        <w:rPr>
          <w:spacing w:val="-2"/>
          <w:szCs w:val="22"/>
        </w:rPr>
        <w:t>nell'Elenco;</w:t>
      </w:r>
    </w:p>
    <w:p>
      <w:pPr>
        <w:pStyle w:val="ListParagraph"/>
        <w:numPr>
          <w:ilvl w:val="1"/>
          <w:numId w:val="6"/>
        </w:numPr>
        <w:tabs>
          <w:tab w:val="clear" w:pos="708"/>
          <w:tab w:val="left" w:pos="781" w:leader="none"/>
        </w:tabs>
        <w:ind w:hanging="128" w:start="781" w:end="11"/>
        <w:rPr/>
      </w:pPr>
      <w:r>
        <w:rPr>
          <w:szCs w:val="22"/>
        </w:rPr>
        <w:t xml:space="preserve"> </w:t>
      </w:r>
      <w:r>
        <w:rPr>
          <w:szCs w:val="22"/>
        </w:rPr>
        <w:t>che</w:t>
      </w:r>
      <w:r>
        <w:rPr>
          <w:spacing w:val="-6"/>
          <w:szCs w:val="22"/>
        </w:rPr>
        <w:t xml:space="preserve"> </w:t>
      </w:r>
      <w:r>
        <w:rPr>
          <w:szCs w:val="22"/>
        </w:rPr>
        <w:t>non</w:t>
      </w:r>
      <w:r>
        <w:rPr>
          <w:spacing w:val="-3"/>
          <w:szCs w:val="22"/>
        </w:rPr>
        <w:t xml:space="preserve"> </w:t>
      </w:r>
      <w:r>
        <w:rPr>
          <w:szCs w:val="22"/>
        </w:rPr>
        <w:t>abbiano</w:t>
      </w:r>
      <w:r>
        <w:rPr>
          <w:spacing w:val="-2"/>
          <w:szCs w:val="22"/>
        </w:rPr>
        <w:t xml:space="preserve"> </w:t>
      </w:r>
      <w:r>
        <w:rPr>
          <w:szCs w:val="22"/>
        </w:rPr>
        <w:t>assolto</w:t>
      </w:r>
      <w:r>
        <w:rPr>
          <w:spacing w:val="-3"/>
          <w:szCs w:val="22"/>
        </w:rPr>
        <w:t xml:space="preserve"> </w:t>
      </w:r>
      <w:r>
        <w:rPr>
          <w:szCs w:val="22"/>
        </w:rPr>
        <w:t>con</w:t>
      </w:r>
      <w:r>
        <w:rPr>
          <w:spacing w:val="-3"/>
          <w:szCs w:val="22"/>
        </w:rPr>
        <w:t xml:space="preserve"> </w:t>
      </w:r>
      <w:r>
        <w:rPr>
          <w:szCs w:val="22"/>
        </w:rPr>
        <w:t>puntualità</w:t>
      </w:r>
      <w:r>
        <w:rPr>
          <w:spacing w:val="-3"/>
          <w:szCs w:val="22"/>
        </w:rPr>
        <w:t xml:space="preserve"> </w:t>
      </w:r>
      <w:r>
        <w:rPr>
          <w:szCs w:val="22"/>
        </w:rPr>
        <w:t>e</w:t>
      </w:r>
      <w:r>
        <w:rPr>
          <w:spacing w:val="-4"/>
          <w:szCs w:val="22"/>
        </w:rPr>
        <w:t xml:space="preserve"> </w:t>
      </w:r>
      <w:r>
        <w:rPr>
          <w:szCs w:val="22"/>
        </w:rPr>
        <w:t>diligenza</w:t>
      </w:r>
      <w:r>
        <w:rPr>
          <w:spacing w:val="-4"/>
          <w:szCs w:val="22"/>
        </w:rPr>
        <w:t xml:space="preserve"> </w:t>
      </w:r>
      <w:r>
        <w:rPr>
          <w:szCs w:val="22"/>
        </w:rPr>
        <w:t>gli</w:t>
      </w:r>
      <w:r>
        <w:rPr>
          <w:spacing w:val="-3"/>
          <w:szCs w:val="22"/>
        </w:rPr>
        <w:t xml:space="preserve"> </w:t>
      </w:r>
      <w:r>
        <w:rPr>
          <w:szCs w:val="22"/>
        </w:rPr>
        <w:t>incarichi</w:t>
      </w:r>
      <w:r>
        <w:rPr>
          <w:spacing w:val="-4"/>
          <w:szCs w:val="22"/>
        </w:rPr>
        <w:t xml:space="preserve"> </w:t>
      </w:r>
      <w:r>
        <w:rPr>
          <w:szCs w:val="22"/>
        </w:rPr>
        <w:t>loro</w:t>
      </w:r>
      <w:r>
        <w:rPr>
          <w:spacing w:val="-2"/>
          <w:szCs w:val="22"/>
        </w:rPr>
        <w:t xml:space="preserve"> affidati;</w:t>
      </w:r>
    </w:p>
    <w:p>
      <w:pPr>
        <w:pStyle w:val="ListParagraph"/>
        <w:numPr>
          <w:ilvl w:val="1"/>
          <w:numId w:val="6"/>
        </w:numPr>
        <w:tabs>
          <w:tab w:val="clear" w:pos="708"/>
          <w:tab w:val="left" w:pos="781" w:leader="none"/>
        </w:tabs>
        <w:ind w:hanging="128" w:start="781" w:end="11"/>
        <w:rPr/>
      </w:pPr>
      <w:r>
        <w:rPr>
          <w:szCs w:val="22"/>
        </w:rPr>
        <w:t xml:space="preserve"> </w:t>
      </w:r>
      <w:r>
        <w:rPr>
          <w:szCs w:val="22"/>
        </w:rPr>
        <w:t>che</w:t>
      </w:r>
      <w:r>
        <w:rPr>
          <w:spacing w:val="-3"/>
          <w:szCs w:val="22"/>
        </w:rPr>
        <w:t xml:space="preserve"> </w:t>
      </w:r>
      <w:r>
        <w:rPr>
          <w:szCs w:val="22"/>
        </w:rPr>
        <w:t>abbiano,</w:t>
      </w:r>
      <w:r>
        <w:rPr>
          <w:spacing w:val="-2"/>
          <w:szCs w:val="22"/>
        </w:rPr>
        <w:t xml:space="preserve"> </w:t>
      </w:r>
      <w:r>
        <w:rPr>
          <w:szCs w:val="22"/>
        </w:rPr>
        <w:t>senza</w:t>
      </w:r>
      <w:r>
        <w:rPr>
          <w:spacing w:val="-2"/>
          <w:szCs w:val="22"/>
        </w:rPr>
        <w:t xml:space="preserve"> </w:t>
      </w:r>
      <w:r>
        <w:rPr>
          <w:szCs w:val="22"/>
        </w:rPr>
        <w:t>giustificato</w:t>
      </w:r>
      <w:r>
        <w:rPr>
          <w:spacing w:val="-2"/>
          <w:szCs w:val="22"/>
        </w:rPr>
        <w:t xml:space="preserve"> </w:t>
      </w:r>
      <w:r>
        <w:rPr>
          <w:szCs w:val="22"/>
        </w:rPr>
        <w:t>motivo,</w:t>
      </w:r>
      <w:r>
        <w:rPr>
          <w:spacing w:val="-2"/>
          <w:szCs w:val="22"/>
        </w:rPr>
        <w:t xml:space="preserve"> </w:t>
      </w:r>
      <w:r>
        <w:rPr>
          <w:szCs w:val="22"/>
        </w:rPr>
        <w:t>rifiutato</w:t>
      </w:r>
      <w:r>
        <w:rPr>
          <w:spacing w:val="-2"/>
          <w:szCs w:val="22"/>
        </w:rPr>
        <w:t xml:space="preserve"> </w:t>
      </w:r>
      <w:r>
        <w:rPr>
          <w:szCs w:val="22"/>
        </w:rPr>
        <w:t>di</w:t>
      </w:r>
      <w:r>
        <w:rPr>
          <w:spacing w:val="-2"/>
          <w:szCs w:val="22"/>
        </w:rPr>
        <w:t xml:space="preserve"> </w:t>
      </w:r>
      <w:r>
        <w:rPr>
          <w:szCs w:val="22"/>
        </w:rPr>
        <w:t>accettare</w:t>
      </w:r>
      <w:r>
        <w:rPr>
          <w:spacing w:val="-3"/>
          <w:szCs w:val="22"/>
        </w:rPr>
        <w:t xml:space="preserve"> </w:t>
      </w:r>
      <w:r>
        <w:rPr>
          <w:szCs w:val="22"/>
        </w:rPr>
        <w:t>un</w:t>
      </w:r>
      <w:r>
        <w:rPr>
          <w:spacing w:val="-1"/>
          <w:szCs w:val="22"/>
        </w:rPr>
        <w:t xml:space="preserve"> </w:t>
      </w:r>
      <w:r>
        <w:rPr>
          <w:spacing w:val="-2"/>
          <w:szCs w:val="22"/>
        </w:rPr>
        <w:t>incarico;</w:t>
      </w:r>
    </w:p>
    <w:p>
      <w:pPr>
        <w:pStyle w:val="ListParagraph"/>
        <w:numPr>
          <w:ilvl w:val="1"/>
          <w:numId w:val="6"/>
        </w:numPr>
        <w:tabs>
          <w:tab w:val="clear" w:pos="708"/>
          <w:tab w:val="left" w:pos="781" w:leader="none"/>
        </w:tabs>
        <w:ind w:hanging="128" w:start="781" w:end="11"/>
        <w:rPr/>
      </w:pPr>
      <w:r>
        <w:rPr>
          <w:szCs w:val="22"/>
        </w:rPr>
        <w:t xml:space="preserve"> </w:t>
      </w:r>
      <w:r>
        <w:rPr>
          <w:szCs w:val="22"/>
        </w:rPr>
        <w:t>siano,</w:t>
      </w:r>
      <w:r>
        <w:rPr>
          <w:spacing w:val="-3"/>
          <w:szCs w:val="22"/>
        </w:rPr>
        <w:t xml:space="preserve"> </w:t>
      </w:r>
      <w:r>
        <w:rPr>
          <w:szCs w:val="22"/>
        </w:rPr>
        <w:t>comunque,</w:t>
      </w:r>
      <w:r>
        <w:rPr>
          <w:spacing w:val="-2"/>
          <w:szCs w:val="22"/>
        </w:rPr>
        <w:t xml:space="preserve"> </w:t>
      </w:r>
      <w:r>
        <w:rPr>
          <w:szCs w:val="22"/>
        </w:rPr>
        <w:t>incorsi</w:t>
      </w:r>
      <w:r>
        <w:rPr>
          <w:spacing w:val="-2"/>
          <w:szCs w:val="22"/>
        </w:rPr>
        <w:t xml:space="preserve"> </w:t>
      </w:r>
      <w:r>
        <w:rPr>
          <w:szCs w:val="22"/>
        </w:rPr>
        <w:t>in</w:t>
      </w:r>
      <w:r>
        <w:rPr>
          <w:spacing w:val="-3"/>
          <w:szCs w:val="22"/>
        </w:rPr>
        <w:t xml:space="preserve"> </w:t>
      </w:r>
      <w:r>
        <w:rPr>
          <w:szCs w:val="22"/>
        </w:rPr>
        <w:t>gravi</w:t>
      </w:r>
      <w:r>
        <w:rPr>
          <w:spacing w:val="-2"/>
          <w:szCs w:val="22"/>
        </w:rPr>
        <w:t xml:space="preserve"> inadempienze;</w:t>
      </w:r>
    </w:p>
    <w:p>
      <w:pPr>
        <w:pStyle w:val="ListParagraph"/>
        <w:numPr>
          <w:ilvl w:val="1"/>
          <w:numId w:val="6"/>
        </w:numPr>
        <w:tabs>
          <w:tab w:val="clear" w:pos="708"/>
          <w:tab w:val="left" w:pos="781" w:leader="none"/>
        </w:tabs>
        <w:ind w:hanging="128" w:start="781" w:end="11"/>
        <w:rPr/>
      </w:pPr>
      <w:r>
        <w:rPr>
          <w:szCs w:val="22"/>
        </w:rPr>
        <w:t xml:space="preserve"> </w:t>
      </w:r>
      <w:r>
        <w:rPr>
          <w:szCs w:val="22"/>
        </w:rPr>
        <w:t>abbiano</w:t>
      </w:r>
      <w:r>
        <w:rPr>
          <w:spacing w:val="-2"/>
          <w:szCs w:val="22"/>
        </w:rPr>
        <w:t xml:space="preserve"> </w:t>
      </w:r>
      <w:r>
        <w:rPr>
          <w:szCs w:val="22"/>
        </w:rPr>
        <w:t>per</w:t>
      </w:r>
      <w:r>
        <w:rPr>
          <w:spacing w:val="-2"/>
          <w:szCs w:val="22"/>
        </w:rPr>
        <w:t xml:space="preserve"> </w:t>
      </w:r>
      <w:r>
        <w:rPr>
          <w:szCs w:val="22"/>
        </w:rPr>
        <w:t>sé</w:t>
      </w:r>
      <w:r>
        <w:rPr>
          <w:spacing w:val="-3"/>
          <w:szCs w:val="22"/>
        </w:rPr>
        <w:t xml:space="preserve"> </w:t>
      </w:r>
      <w:r>
        <w:rPr>
          <w:szCs w:val="22"/>
        </w:rPr>
        <w:t>o</w:t>
      </w:r>
      <w:r>
        <w:rPr>
          <w:spacing w:val="-2"/>
          <w:szCs w:val="22"/>
        </w:rPr>
        <w:t xml:space="preserve"> </w:t>
      </w:r>
      <w:r>
        <w:rPr>
          <w:szCs w:val="22"/>
        </w:rPr>
        <w:t>per</w:t>
      </w:r>
      <w:r>
        <w:rPr>
          <w:spacing w:val="-2"/>
          <w:szCs w:val="22"/>
        </w:rPr>
        <w:t xml:space="preserve"> </w:t>
      </w:r>
      <w:r>
        <w:rPr>
          <w:szCs w:val="22"/>
        </w:rPr>
        <w:t>terzi</w:t>
      </w:r>
      <w:r>
        <w:rPr>
          <w:spacing w:val="-3"/>
          <w:szCs w:val="22"/>
        </w:rPr>
        <w:t xml:space="preserve"> </w:t>
      </w:r>
      <w:r>
        <w:rPr>
          <w:szCs w:val="22"/>
        </w:rPr>
        <w:t>contenziosi</w:t>
      </w:r>
      <w:r>
        <w:rPr>
          <w:spacing w:val="-3"/>
          <w:szCs w:val="22"/>
        </w:rPr>
        <w:t xml:space="preserve"> </w:t>
      </w:r>
      <w:r>
        <w:rPr>
          <w:szCs w:val="22"/>
        </w:rPr>
        <w:t>con</w:t>
      </w:r>
      <w:r>
        <w:rPr>
          <w:spacing w:val="-1"/>
          <w:szCs w:val="22"/>
        </w:rPr>
        <w:t xml:space="preserve"> </w:t>
      </w:r>
      <w:r>
        <w:rPr>
          <w:spacing w:val="-2"/>
          <w:szCs w:val="22"/>
        </w:rPr>
        <w:t>l’Ente;</w:t>
      </w:r>
    </w:p>
    <w:p>
      <w:pPr>
        <w:pStyle w:val="ListParagraph"/>
        <w:numPr>
          <w:ilvl w:val="1"/>
          <w:numId w:val="6"/>
        </w:numPr>
        <w:tabs>
          <w:tab w:val="clear" w:pos="708"/>
          <w:tab w:val="left" w:pos="781" w:leader="none"/>
        </w:tabs>
        <w:ind w:hanging="128" w:start="781" w:end="11"/>
        <w:rPr/>
      </w:pPr>
      <w:r>
        <w:rPr>
          <w:spacing w:val="-2"/>
          <w:szCs w:val="22"/>
        </w:rPr>
        <w:t xml:space="preserve"> </w:t>
      </w:r>
      <w:r>
        <w:rPr>
          <w:spacing w:val="-2"/>
          <w:szCs w:val="22"/>
        </w:rPr>
        <w:t>s</w:t>
      </w:r>
      <w:r>
        <w:rPr>
          <w:szCs w:val="22"/>
        </w:rPr>
        <w:t>u</w:t>
      </w:r>
      <w:r>
        <w:rPr>
          <w:spacing w:val="-3"/>
          <w:szCs w:val="22"/>
        </w:rPr>
        <w:t xml:space="preserve"> </w:t>
      </w:r>
      <w:r>
        <w:rPr>
          <w:szCs w:val="22"/>
        </w:rPr>
        <w:t>istanza</w:t>
      </w:r>
      <w:r>
        <w:rPr>
          <w:spacing w:val="-4"/>
          <w:szCs w:val="22"/>
        </w:rPr>
        <w:t xml:space="preserve"> </w:t>
      </w:r>
      <w:r>
        <w:rPr>
          <w:szCs w:val="22"/>
        </w:rPr>
        <w:t>del</w:t>
      </w:r>
      <w:r>
        <w:rPr>
          <w:spacing w:val="-3"/>
          <w:szCs w:val="22"/>
        </w:rPr>
        <w:t xml:space="preserve"> </w:t>
      </w:r>
      <w:r>
        <w:rPr>
          <w:spacing w:val="-2"/>
          <w:szCs w:val="22"/>
        </w:rPr>
        <w:t>richiedente.</w:t>
      </w:r>
    </w:p>
    <w:p>
      <w:pPr>
        <w:pStyle w:val="ListParagraph"/>
        <w:tabs>
          <w:tab w:val="clear" w:pos="708"/>
          <w:tab w:val="left" w:pos="781" w:leader="none"/>
        </w:tabs>
        <w:ind w:hanging="0" w:start="1435" w:end="11"/>
        <w:rPr>
          <w:spacing w:val="-2"/>
          <w:szCs w:val="22"/>
        </w:rPr>
      </w:pPr>
      <w:r>
        <w:rPr>
          <w:spacing w:val="-2"/>
          <w:szCs w:val="22"/>
        </w:rPr>
      </w:r>
    </w:p>
    <w:p>
      <w:pPr>
        <w:pStyle w:val="Normal"/>
        <w:spacing w:before="0" w:after="271"/>
        <w:ind w:hanging="10" w:start="10" w:end="0"/>
        <w:rPr/>
      </w:pPr>
      <w:r>
        <w:rPr>
          <w:b/>
          <w:bCs/>
          <w:color w:themeColor="text2" w:themeTint="bf" w:val="215E99"/>
        </w:rPr>
        <w:t>ART. 8 - MODALITA’ DI PARTECIPAZIONE</w:t>
      </w:r>
    </w:p>
    <w:p>
      <w:pPr>
        <w:pStyle w:val="Normal"/>
        <w:spacing w:before="0" w:after="271"/>
        <w:ind w:firstLine="698" w:start="10" w:end="0"/>
        <w:rPr/>
      </w:pPr>
      <w:r>
        <w:rPr>
          <w:rFonts w:cs="Times New Roman" w:ascii="Times New Roman" w:hAnsi="Times New Roman"/>
          <w:szCs w:val="22"/>
        </w:rPr>
        <w:t xml:space="preserve"> </w:t>
      </w:r>
      <w:r>
        <w:rPr>
          <w:rFonts w:cs="Times New Roman" w:ascii="Times New Roman" w:hAnsi="Times New Roman"/>
          <w:szCs w:val="22"/>
        </w:rPr>
        <w:t>La domanda di ammissione alla procedura di costituzione della “</w:t>
      </w:r>
      <w:r>
        <w:rPr>
          <w:rFonts w:cs="Times New Roman" w:ascii="Times New Roman" w:hAnsi="Times New Roman"/>
          <w:i/>
          <w:iCs/>
          <w:szCs w:val="22"/>
        </w:rPr>
        <w:t xml:space="preserve">Short List” </w:t>
      </w:r>
      <w:r>
        <w:rPr>
          <w:rFonts w:cs="Times New Roman" w:ascii="Times New Roman" w:hAnsi="Times New Roman"/>
          <w:szCs w:val="22"/>
        </w:rPr>
        <w:t xml:space="preserve">dovrà essere predisposta utilizzando, a pena di irricevibilità, il modello allegato al presente Avviso (Allegato A – Istanza di partecipazione) e dovrà pervenire all’Amministrazione procedente, mediante Posta Elettronica Certificata (PEC) all’indirizzo: </w:t>
      </w:r>
      <w:r>
        <w:rPr>
          <w:rFonts w:cs="Times New Roman" w:ascii="Times New Roman" w:hAnsi="Times New Roman"/>
          <w:b/>
          <w:bCs/>
          <w:i/>
          <w:iCs/>
          <w:szCs w:val="22"/>
        </w:rPr>
        <w:t xml:space="preserve">ufficio.legale@pec.comune.trapani.it </w:t>
      </w:r>
      <w:r>
        <w:rPr>
          <w:rFonts w:cs="Times New Roman" w:ascii="Times New Roman" w:hAnsi="Times New Roman"/>
          <w:szCs w:val="22"/>
        </w:rPr>
        <w:t>entro e non oltre le ore 24</w:t>
      </w:r>
      <w:r>
        <w:rPr>
          <w:rFonts w:cs="Times New Roman" w:ascii="Times New Roman" w:hAnsi="Times New Roman"/>
          <w:szCs w:val="22"/>
          <w:highlight w:val="white"/>
        </w:rPr>
        <w:t>:00 del quindicesimo giorno</w:t>
      </w:r>
      <w:r>
        <w:rPr>
          <w:rFonts w:cs="Times New Roman" w:ascii="Times New Roman" w:hAnsi="Times New Roman"/>
          <w:szCs w:val="22"/>
        </w:rPr>
        <w:t xml:space="preserve"> dalla data di pubblicazione del presente avviso sull’Albo Pretorio del Comune di Trapani, specificando nell’oggetto:</w:t>
      </w:r>
      <w:r>
        <w:rPr>
          <w:rFonts w:cs="Times New Roman" w:ascii="Times New Roman" w:hAnsi="Times New Roman"/>
          <w:b/>
          <w:bCs/>
          <w:i/>
          <w:iCs/>
          <w:szCs w:val="22"/>
        </w:rPr>
        <w:t>“ISTANZA INSERIMENTO “SHORT LIST” AVVOCATI ESTERNI 2026</w:t>
      </w:r>
      <w:r>
        <w:rPr>
          <w:rFonts w:cs="Times New Roman" w:ascii="Times New Roman" w:hAnsi="Times New Roman"/>
          <w:b/>
          <w:bCs/>
          <w:szCs w:val="22"/>
        </w:rPr>
        <w:t>”</w:t>
      </w:r>
      <w:r>
        <w:rPr>
          <w:rFonts w:cs="Times New Roman" w:ascii="Times New Roman" w:hAnsi="Times New Roman"/>
          <w:szCs w:val="22"/>
        </w:rPr>
        <w:t>. All’istanza di partecipazione (Allegato 1), a pena di esclusione, dovranno essere allegati in carta semplice:</w:t>
      </w:r>
    </w:p>
    <w:p>
      <w:pPr>
        <w:pStyle w:val="Normal"/>
        <w:spacing w:before="0" w:after="271"/>
        <w:ind w:firstLine="698" w:start="10" w:end="0"/>
        <w:rPr/>
      </w:pPr>
      <w:r>
        <w:rPr>
          <w:rFonts w:cs="Times New Roman" w:ascii="Times New Roman" w:hAnsi="Times New Roman"/>
          <w:szCs w:val="22"/>
        </w:rPr>
        <w:t xml:space="preserve">1) </w:t>
      </w:r>
      <w:r>
        <w:rPr>
          <w:rFonts w:cs="Times New Roman" w:ascii="Times New Roman" w:hAnsi="Times New Roman"/>
          <w:b/>
          <w:bCs/>
          <w:szCs w:val="22"/>
        </w:rPr>
        <w:t>schema di domanda</w:t>
      </w:r>
      <w:r>
        <w:rPr>
          <w:rFonts w:cs="Times New Roman" w:ascii="Times New Roman" w:hAnsi="Times New Roman"/>
          <w:szCs w:val="22"/>
        </w:rPr>
        <w:t xml:space="preserve"> debitamente compilata nelle voci richiamate e sottoscritta;</w:t>
      </w:r>
    </w:p>
    <w:p>
      <w:pPr>
        <w:pStyle w:val="Normal"/>
        <w:spacing w:before="0" w:after="271"/>
        <w:ind w:firstLine="698" w:start="10" w:end="0"/>
        <w:rPr/>
      </w:pPr>
      <w:r>
        <w:rPr>
          <w:rFonts w:cs="Times New Roman" w:ascii="Times New Roman" w:hAnsi="Times New Roman"/>
          <w:szCs w:val="22"/>
        </w:rPr>
        <w:t xml:space="preserve">2) </w:t>
      </w:r>
      <w:r>
        <w:rPr>
          <w:rFonts w:cs="Times New Roman" w:ascii="Times New Roman" w:hAnsi="Times New Roman"/>
          <w:b/>
          <w:bCs/>
          <w:szCs w:val="22"/>
        </w:rPr>
        <w:t xml:space="preserve">Curriculum vitae formativo e professionale, </w:t>
      </w:r>
      <w:r>
        <w:rPr>
          <w:rFonts w:cs="Times New Roman" w:ascii="Times New Roman" w:hAnsi="Times New Roman"/>
          <w:szCs w:val="22"/>
        </w:rPr>
        <w:t>datato e sottoscritto, in formato europeo (così come previsto dall’art. 4 c. 1 delle linee guida);</w:t>
      </w:r>
    </w:p>
    <w:p>
      <w:pPr>
        <w:pStyle w:val="Normal"/>
        <w:spacing w:before="0" w:after="271"/>
        <w:ind w:firstLine="698" w:start="10" w:end="0"/>
        <w:rPr/>
      </w:pPr>
      <w:r>
        <w:rPr>
          <w:rFonts w:cs="Times New Roman" w:ascii="Times New Roman" w:hAnsi="Times New Roman"/>
          <w:szCs w:val="22"/>
        </w:rPr>
        <w:t>3)</w:t>
      </w:r>
      <w:r>
        <w:rPr>
          <w:rFonts w:cs="Times New Roman" w:ascii="Times New Roman" w:hAnsi="Times New Roman"/>
          <w:b/>
          <w:bCs/>
          <w:szCs w:val="22"/>
        </w:rPr>
        <w:t xml:space="preserve"> copia fotostatica </w:t>
      </w:r>
      <w:r>
        <w:rPr>
          <w:rFonts w:cs="Times New Roman" w:ascii="Times New Roman" w:hAnsi="Times New Roman"/>
          <w:szCs w:val="22"/>
        </w:rPr>
        <w:t>fronte e retro di un documento di riconoscimento in corso di validità del candidato;</w:t>
      </w:r>
    </w:p>
    <w:p>
      <w:pPr>
        <w:pStyle w:val="Normal"/>
        <w:spacing w:before="0" w:after="271"/>
        <w:ind w:hanging="0" w:start="10" w:end="0"/>
        <w:rPr/>
      </w:pPr>
      <w:r>
        <w:rPr>
          <w:rFonts w:cs="Times New Roman" w:ascii="Times New Roman" w:hAnsi="Times New Roman"/>
          <w:szCs w:val="22"/>
        </w:rPr>
        <w:tab/>
        <w:t xml:space="preserve">4) dichiarazione </w:t>
      </w:r>
      <w:r>
        <w:rPr>
          <w:rFonts w:cs="Times New Roman" w:ascii="Times New Roman" w:hAnsi="Times New Roman"/>
          <w:b/>
        </w:rPr>
        <w:t xml:space="preserve">sul trattamento dei dati personali, </w:t>
      </w:r>
      <w:r>
        <w:rPr>
          <w:rFonts w:cs="Times New Roman" w:ascii="Times New Roman" w:hAnsi="Times New Roman"/>
          <w:szCs w:val="22"/>
        </w:rPr>
        <w:t>con annesso rilascio di autorizzazione al trattamento esclusivamente per le finalità connesse alla presente procedura.</w:t>
      </w:r>
    </w:p>
    <w:p>
      <w:pPr>
        <w:pStyle w:val="Normal"/>
        <w:spacing w:before="0" w:after="271"/>
        <w:ind w:firstLine="698" w:start="10" w:end="0"/>
        <w:rPr/>
      </w:pPr>
      <w:r>
        <w:rPr>
          <w:rFonts w:cs="Times New Roman" w:ascii="Times New Roman" w:hAnsi="Times New Roman"/>
          <w:szCs w:val="22"/>
        </w:rPr>
        <w:t>La presentazione di documentazione incompleta, priva di firma o resa in forme diverse da quelle sopra descritte comporta automaticamente l’esclusione della candidatura stessa. Si dispone che la domanda e tutti gli allegati alla domanda di partecipazione siano redatti mediante sistemi di videoscrittura: non è ammessa la compilazione manoscritta degli stessi, pena l’esclusione dalla procedura.</w:t>
      </w:r>
    </w:p>
    <w:p>
      <w:pPr>
        <w:pStyle w:val="Heading2"/>
        <w:ind w:hanging="10" w:start="-5" w:end="11"/>
        <w:rPr/>
      </w:pPr>
      <w:r>
        <w:rPr>
          <w:rFonts w:cs="Times New Roman" w:ascii="Times New Roman" w:hAnsi="Times New Roman"/>
        </w:rPr>
        <w:t xml:space="preserve"> </w:t>
      </w:r>
      <w:r>
        <w:rPr>
          <w:rFonts w:cs="Times New Roman" w:ascii="Times New Roman" w:hAnsi="Times New Roman"/>
        </w:rPr>
        <w:t>ART. 9 - TRASPARENZA, PUBBLICITÀ E TRATTAMENTO DEI DATI</w:t>
      </w:r>
    </w:p>
    <w:p>
      <w:pPr>
        <w:pStyle w:val="Normal"/>
        <w:spacing w:lineRule="auto" w:line="259" w:before="0" w:after="35"/>
        <w:ind w:hanging="10" w:start="10" w:end="-3"/>
        <w:jc w:val="end"/>
        <w:rPr>
          <w:rFonts w:ascii="Times New Roman" w:hAnsi="Times New Roman" w:cs="Times New Roman"/>
        </w:rPr>
      </w:pPr>
      <w:r>
        <w:rPr>
          <w:rFonts w:cs="Times New Roman" w:ascii="Times New Roman" w:hAnsi="Times New Roman"/>
        </w:rPr>
        <w:t>L'Albo dei professionisti e il correlato "Registro degli incarichi conferiti" sono atti pubblici. Essi saranno</w:t>
      </w:r>
    </w:p>
    <w:p>
      <w:pPr>
        <w:pStyle w:val="Normal"/>
        <w:spacing w:before="0" w:after="179"/>
        <w:ind w:hanging="10" w:start="-5" w:end="0"/>
        <w:rPr/>
      </w:pPr>
      <w:r>
        <w:rPr>
          <w:rFonts w:cs="Times New Roman" w:ascii="Times New Roman" w:hAnsi="Times New Roman"/>
        </w:rPr>
        <w:t xml:space="preserve">pubblicati sul sito istituzionale del Comune di Trapani nella sezione </w:t>
      </w:r>
      <w:r>
        <w:rPr>
          <w:rFonts w:cs="Times New Roman" w:ascii="Times New Roman" w:hAnsi="Times New Roman"/>
          <w:b/>
        </w:rPr>
        <w:t>"Amministrazione Trasparente"</w:t>
      </w:r>
      <w:r>
        <w:rPr>
          <w:rFonts w:cs="Times New Roman" w:ascii="Times New Roman" w:hAnsi="Times New Roman"/>
        </w:rPr>
        <w:t>, ai sensi del D.Lgs. n. 33/2013, sotto la voce "</w:t>
      </w:r>
      <w:r>
        <w:rPr>
          <w:rFonts w:cs="Times New Roman" w:ascii="Times New Roman" w:hAnsi="Times New Roman"/>
          <w:i/>
          <w:iCs/>
        </w:rPr>
        <w:t>Consulenti e collaboratori</w:t>
      </w:r>
      <w:r>
        <w:rPr>
          <w:rFonts w:cs="Times New Roman" w:ascii="Times New Roman" w:hAnsi="Times New Roman"/>
        </w:rPr>
        <w:t>", unitamente ai dati relativi ai singoli affidamenti e ai compensi liquidati.</w:t>
      </w:r>
    </w:p>
    <w:p>
      <w:pPr>
        <w:pStyle w:val="Normal"/>
        <w:spacing w:before="0" w:after="179"/>
        <w:ind w:hanging="10" w:start="-5" w:end="0"/>
        <w:rPr/>
      </w:pPr>
      <w:r>
        <w:rPr>
          <w:rFonts w:cs="Times New Roman" w:ascii="Times New Roman" w:hAnsi="Times New Roman"/>
        </w:rPr>
        <w:t xml:space="preserve">             </w:t>
      </w:r>
      <w:r>
        <w:rPr>
          <w:rFonts w:cs="Times New Roman" w:ascii="Times New Roman" w:hAnsi="Times New Roman"/>
        </w:rPr>
        <w:t>Ai sensi del Regolamento (UE) 2016/679 (GDPR) e del D. Lgs 101/2018, in materia di protezione dei dati personali, si informa che i dati forniti saranno utilizzati dagli uffici esclusivamente per le finalità di gestione della procedura e saranno trattati successivamente per le finalità connesse alla gestione dell’affidamento, nel rispetto della normativa specifica di cui al D.Lgs 36/2023 “Codice dei contratti pubblici”. Il trattamento viene effettuato sia con strumenti cartacei sia con supporti informatici a disposizione degli uffici, necessario per l'esecuzione di un compito di interesse pubblico. I dati saranno conservati ai fini dei controlli dell’Autorità Nazionale Anticorruzione. Il conferimento dei dati ha natura obbligatoria ai fini della partecipazione e dell'iscrizione.</w:t>
      </w:r>
    </w:p>
    <w:p>
      <w:pPr>
        <w:pStyle w:val="Normal"/>
        <w:spacing w:before="0" w:after="179"/>
        <w:ind w:hanging="10" w:start="-5" w:end="0"/>
        <w:rPr>
          <w:rFonts w:ascii="Times New Roman" w:hAnsi="Times New Roman" w:cs="Times New Roman"/>
        </w:rPr>
      </w:pPr>
      <w:r>
        <w:rPr>
          <w:rFonts w:cs="Times New Roman" w:ascii="Times New Roman" w:hAnsi="Times New Roman"/>
        </w:rPr>
      </w:r>
    </w:p>
    <w:p>
      <w:pPr>
        <w:pStyle w:val="Normal"/>
        <w:spacing w:before="0" w:after="179"/>
        <w:ind w:hanging="10" w:start="-5" w:end="0"/>
        <w:rPr>
          <w:rFonts w:ascii="Times New Roman" w:hAnsi="Times New Roman" w:cs="Times New Roman"/>
        </w:rPr>
      </w:pPr>
      <w:r>
        <w:rPr>
          <w:rFonts w:cs="Times New Roman" w:ascii="Times New Roman" w:hAnsi="Times New Roman"/>
        </w:rPr>
        <w:tab/>
        <w:tab/>
        <w:tab/>
        <w:tab/>
        <w:tab/>
        <w:tab/>
        <w:tab/>
        <w:tab/>
        <w:tab/>
        <w:tab/>
      </w:r>
      <w:r>
        <w:rPr>
          <w:rFonts w:cs="Times New Roman" w:ascii="Times New Roman" w:hAnsi="Times New Roman"/>
          <w:sz w:val="21"/>
          <w:szCs w:val="21"/>
        </w:rPr>
        <w:tab/>
      </w:r>
      <w:r>
        <w:rPr>
          <w:rFonts w:cs="Times New Roman" w:ascii="Times New Roman" w:hAnsi="Times New Roman"/>
          <w:b/>
          <w:bCs/>
          <w:i/>
          <w:iCs/>
          <w:sz w:val="21"/>
          <w:szCs w:val="21"/>
        </w:rPr>
        <w:t>Il Responsabile del procedimento</w:t>
      </w:r>
    </w:p>
    <w:p>
      <w:pPr>
        <w:pStyle w:val="Normal"/>
        <w:spacing w:before="0" w:after="179"/>
        <w:ind w:hanging="10" w:start="-5" w:end="0"/>
        <w:rPr>
          <w:b/>
          <w:bCs/>
          <w:sz w:val="21"/>
          <w:szCs w:val="21"/>
        </w:rPr>
      </w:pPr>
      <w:r>
        <w:rPr>
          <w:rFonts w:cs="Times New Roman" w:ascii="Times New Roman" w:hAnsi="Times New Roman"/>
          <w:b/>
          <w:bCs/>
          <w:i/>
          <w:iCs/>
          <w:sz w:val="21"/>
          <w:szCs w:val="21"/>
        </w:rPr>
        <w:tab/>
        <w:tab/>
        <w:tab/>
        <w:tab/>
        <w:tab/>
        <w:tab/>
        <w:tab/>
        <w:tab/>
        <w:tab/>
        <w:tab/>
        <w:t xml:space="preserve"> </w:t>
      </w:r>
      <w:r>
        <w:rPr>
          <w:rFonts w:cs="Times New Roman" w:ascii="Times New Roman" w:hAnsi="Times New Roman"/>
          <w:b/>
          <w:bCs/>
          <w:i/>
          <w:iCs/>
          <w:sz w:val="21"/>
          <w:szCs w:val="21"/>
        </w:rPr>
        <w:t>f.to</w:t>
      </w:r>
      <w:r>
        <w:rPr>
          <w:rFonts w:cs="Times New Roman" w:ascii="Times New Roman" w:hAnsi="Times New Roman"/>
          <w:b/>
          <w:bCs/>
          <w:i/>
          <w:iCs/>
          <w:sz w:val="21"/>
          <w:szCs w:val="21"/>
        </w:rPr>
        <w:t xml:space="preserve"> Istruttore amministrativo Sig.ra Maria Maltese</w:t>
      </w:r>
    </w:p>
    <w:p>
      <w:pPr>
        <w:pStyle w:val="Normal"/>
        <w:ind w:hanging="10" w:start="-5" w:end="0"/>
        <w:rPr/>
      </w:pPr>
      <w:r>
        <w:rPr>
          <w:rFonts w:cs="Times New Roman" w:ascii="Times New Roman" w:hAnsi="Times New Roman"/>
          <w:b/>
          <w:bCs/>
          <w:i/>
          <w:iCs/>
        </w:rPr>
        <w:t xml:space="preserve">         </w:t>
      </w:r>
    </w:p>
    <w:p>
      <w:pPr>
        <w:pStyle w:val="Normal"/>
        <w:ind w:hanging="10" w:start="-5" w:end="0"/>
        <w:rPr>
          <w:rFonts w:ascii="Times New Roman" w:hAnsi="Times New Roman" w:cs="Times New Roman"/>
          <w:b/>
          <w:bCs/>
          <w:i/>
          <w:iCs/>
        </w:rPr>
      </w:pPr>
      <w:r>
        <w:rPr>
          <w:rFonts w:cs="Times New Roman" w:ascii="Times New Roman" w:hAnsi="Times New Roman"/>
          <w:b/>
          <w:bCs/>
          <w:i/>
          <w:iCs/>
        </w:rPr>
        <w:t xml:space="preserve">       </w:t>
      </w:r>
      <w:r>
        <w:rPr>
          <w:rFonts w:cs="Times New Roman" w:ascii="Times New Roman" w:hAnsi="Times New Roman"/>
          <w:b/>
          <w:bCs/>
          <w:i/>
          <w:iCs/>
        </w:rPr>
        <w:t xml:space="preserve">Il Funzionario - Titolare di E.Q. </w:t>
      </w:r>
    </w:p>
    <w:p>
      <w:pPr>
        <w:pStyle w:val="Normal"/>
        <w:ind w:hanging="10" w:start="-5" w:end="0"/>
        <w:rPr>
          <w:rFonts w:ascii="Times New Roman" w:hAnsi="Times New Roman" w:cs="Times New Roman"/>
          <w:b/>
          <w:bCs/>
          <w:i/>
          <w:iCs/>
        </w:rPr>
      </w:pPr>
      <w:r>
        <w:rPr>
          <w:rFonts w:cs="Times New Roman" w:ascii="Times New Roman" w:hAnsi="Times New Roman"/>
          <w:b/>
          <w:bCs/>
          <w:i/>
          <w:iCs/>
          <w:sz w:val="21"/>
          <w:szCs w:val="21"/>
        </w:rPr>
        <w:t xml:space="preserve">f.to  </w:t>
      </w:r>
      <w:r>
        <w:rPr>
          <w:rFonts w:cs="Times New Roman" w:ascii="Times New Roman" w:hAnsi="Times New Roman"/>
          <w:b/>
          <w:bCs/>
          <w:i/>
          <w:iCs/>
        </w:rPr>
        <w:t>Servizi Legali - Dott.ssa Francesca Cariello</w:t>
      </w:r>
    </w:p>
    <w:p>
      <w:pPr>
        <w:pStyle w:val="Normal"/>
        <w:ind w:hanging="10" w:start="-5" w:end="0"/>
        <w:rPr>
          <w:rFonts w:ascii="Times New Roman" w:hAnsi="Times New Roman" w:cs="Times New Roman"/>
          <w:b/>
          <w:bCs/>
          <w:i/>
          <w:iCs/>
        </w:rPr>
      </w:pPr>
      <w:r>
        <w:rPr>
          <w:rFonts w:cs="Times New Roman" w:ascii="Times New Roman" w:hAnsi="Times New Roman"/>
          <w:b/>
          <w:bCs/>
          <w:i/>
          <w:iCs/>
        </w:rPr>
      </w:r>
    </w:p>
    <w:p>
      <w:pPr>
        <w:pStyle w:val="Normal"/>
        <w:ind w:hanging="10" w:start="-5" w:end="0"/>
        <w:rPr>
          <w:rFonts w:ascii="Times New Roman" w:hAnsi="Times New Roman" w:cs="Times New Roman"/>
          <w:b/>
          <w:bCs/>
          <w:i/>
          <w:iCs/>
        </w:rPr>
      </w:pPr>
      <w:r>
        <w:rPr>
          <w:rFonts w:cs="Times New Roman" w:ascii="Times New Roman" w:hAnsi="Times New Roman"/>
          <w:b/>
          <w:bCs/>
          <w:i/>
          <w:iCs/>
        </w:rPr>
        <w:tab/>
        <w:tab/>
        <w:tab/>
        <w:tab/>
        <w:tab/>
        <w:tab/>
        <w:tab/>
        <w:tab/>
        <w:tab/>
        <w:tab/>
        <w:t xml:space="preserve">                  La Dirigente I Settore</w:t>
      </w:r>
    </w:p>
    <w:p>
      <w:pPr>
        <w:pStyle w:val="Normal"/>
        <w:spacing w:before="0" w:after="91"/>
        <w:ind w:hanging="10" w:start="-5" w:end="0"/>
        <w:rPr/>
      </w:pPr>
      <w:r>
        <w:rPr>
          <w:rFonts w:cs="Times New Roman" w:ascii="Times New Roman" w:hAnsi="Times New Roman"/>
          <w:b/>
          <w:bCs/>
          <w:i/>
          <w:iCs/>
        </w:rPr>
        <w:tab/>
        <w:tab/>
        <w:tab/>
        <w:tab/>
        <w:tab/>
        <w:tab/>
        <w:tab/>
        <w:tab/>
        <w:tab/>
        <w:t xml:space="preserve">                         </w:t>
      </w:r>
      <w:r>
        <w:rPr>
          <w:rFonts w:cs="Times New Roman" w:ascii="Times New Roman" w:hAnsi="Times New Roman"/>
          <w:b/>
          <w:bCs/>
          <w:i/>
          <w:iCs/>
        </w:rPr>
        <w:t>f.to</w:t>
      </w:r>
      <w:r>
        <w:rPr>
          <w:rFonts w:cs="Times New Roman" w:ascii="Times New Roman" w:hAnsi="Times New Roman"/>
          <w:b/>
          <w:bCs/>
          <w:i/>
          <w:iCs/>
        </w:rPr>
        <w:t xml:space="preserve"> Dott.ssa Nunziata Gabriele</w:t>
      </w:r>
    </w:p>
    <w:sectPr>
      <w:footerReference w:type="even" r:id="rId3"/>
      <w:footerReference w:type="default" r:id="rId4"/>
      <w:footerReference w:type="first" r:id="rId5"/>
      <w:type w:val="nextPage"/>
      <w:pgSz w:w="11906" w:h="16838"/>
      <w:pgMar w:left="850" w:right="840" w:gutter="0" w:header="0" w:top="1134" w:footer="456" w:bottom="144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Liberation Serif">
    <w:altName w:val="Times New Roman"/>
    <w:charset w:val="01"/>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9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right" w:pos="10215" w:leader="none"/>
      </w:tabs>
      <w:spacing w:lineRule="auto" w:line="259" w:before="0" w:after="0"/>
      <w:ind w:hanging="0" w:start="0" w:end="0"/>
      <w:jc w:val="start"/>
      <w:rPr/>
    </w:pPr>
    <w:r>
      <w:rPr>
        <w:color w:val="555555"/>
        <w:sz w:val="20"/>
      </w:rPr>
      <w:t>Comune di Trapani - I Settore Servizi Legali</w:t>
      <w:tab/>
      <w:t xml:space="preserve">Pagina </w:t>
    </w:r>
    <w:r>
      <w:rPr/>
      <w:fldChar w:fldCharType="begin"/>
    </w:r>
    <w:r>
      <w:rPr/>
      <w:instrText xml:space="preserve"> PAGE </w:instrText>
    </w:r>
    <w:r>
      <w:rPr/>
      <w:fldChar w:fldCharType="separate"/>
    </w:r>
    <w:r>
      <w:rPr/>
      <w:t>4</w:t>
    </w:r>
    <w:r>
      <w:rPr/>
      <w:fldChar w:fldCharType="end"/>
    </w:r>
    <w:r>
      <w:rPr>
        <w:color w:val="555555"/>
        <w:sz w:val="20"/>
      </w:rPr>
      <w:t xml:space="preserve"> di </w:t>
    </w:r>
    <w:r>
      <w:rPr/>
      <w:fldChar w:fldCharType="begin"/>
    </w:r>
    <w:r>
      <w:rPr/>
      <w:instrText xml:space="preserve"> NUMPAGES </w:instrText>
    </w:r>
    <w:r>
      <w:rPr/>
      <w:fldChar w:fldCharType="separate"/>
    </w:r>
    <w:r>
      <w:rPr/>
      <w:t>6</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right" w:pos="10215" w:leader="none"/>
      </w:tabs>
      <w:spacing w:lineRule="auto" w:line="259" w:before="0" w:after="0"/>
      <w:ind w:hanging="0" w:start="0" w:end="0"/>
      <w:jc w:val="start"/>
      <w:rPr/>
    </w:pPr>
    <w:r>
      <w:rPr>
        <w:color w:val="555555"/>
        <w:sz w:val="20"/>
      </w:rPr>
      <w:t>Comune di Trapani - I Settore Servizi Legali</w:t>
      <w:tab/>
      <w:t xml:space="preserve">Pagina </w:t>
    </w:r>
    <w:r>
      <w:rPr/>
      <w:fldChar w:fldCharType="begin"/>
    </w:r>
    <w:r>
      <w:rPr/>
      <w:instrText xml:space="preserve"> PAGE </w:instrText>
    </w:r>
    <w:r>
      <w:rPr/>
      <w:fldChar w:fldCharType="separate"/>
    </w:r>
    <w:r>
      <w:rPr/>
      <w:t>4</w:t>
    </w:r>
    <w:r>
      <w:rPr/>
      <w:fldChar w:fldCharType="end"/>
    </w:r>
    <w:r>
      <w:rPr>
        <w:color w:val="555555"/>
        <w:sz w:val="20"/>
      </w:rPr>
      <w:t xml:space="preserve"> di </w:t>
    </w:r>
    <w:r>
      <w:rPr/>
      <w:fldChar w:fldCharType="begin"/>
    </w:r>
    <w:r>
      <w:rPr/>
      <w:instrText xml:space="preserve"> NUMPAGES </w:instrText>
    </w:r>
    <w:r>
      <w:rPr/>
      <w:fldChar w:fldCharType="separate"/>
    </w:r>
    <w:r>
      <w:rPr/>
      <w:t>6</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pStyle w:val="Heading1"/>
      <w:lvlText w:val="%1"/>
      <w:lvlJc w:val="start"/>
      <w:pPr>
        <w:tabs>
          <w:tab w:val="num" w:pos="0"/>
        </w:tabs>
        <w:ind w:start="0" w:hanging="0"/>
      </w:pPr>
      <w:rPr>
        <w:rFonts w:eastAsia="Liberation Serif" w:cs="Liberation Serif"/>
        <w:b/>
        <w:bCs/>
        <w:i w:val="false"/>
        <w:strike w:val="false"/>
        <w:dstrike w:val="false"/>
        <w:color w:val="000000"/>
        <w:position w:val="0"/>
        <w:sz w:val="28"/>
        <w:szCs w:val="28"/>
        <w:u w:val="none" w:color="000000"/>
        <w:vertAlign w:val="baseline"/>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485" w:hanging="0"/>
      </w:pPr>
      <w:rPr>
        <w:rFonts w:ascii="Times New Roman" w:hAnsi="Times New Roman" w:eastAsia="Liberation Serif" w:cs="Liberation Serif"/>
        <w:b w:val="false"/>
        <w:i w:val="false"/>
        <w:strike w:val="false"/>
        <w:dstrike w:val="false"/>
        <w:color w:val="000000"/>
        <w:position w:val="0"/>
        <w:sz w:val="22"/>
        <w:szCs w:val="22"/>
        <w:u w:val="none" w:color="000000"/>
        <w:vertAlign w:val="baseline"/>
      </w:rPr>
    </w:lvl>
    <w:lvl w:ilvl="1">
      <w:start w:val="1"/>
      <w:numFmt w:val="lowerLetter"/>
      <w:lvlText w:val="%2"/>
      <w:lvlJc w:val="start"/>
      <w:pPr>
        <w:tabs>
          <w:tab w:val="num" w:pos="0"/>
        </w:tabs>
        <w:ind w:start="1208" w:hanging="0"/>
      </w:pPr>
      <w:rPr>
        <w:rFonts w:eastAsia="Liberation Serif" w:cs="Liberation Serif"/>
        <w:b w:val="false"/>
        <w:i w:val="false"/>
        <w:strike w:val="false"/>
        <w:dstrike w:val="false"/>
        <w:color w:val="000000"/>
        <w:position w:val="0"/>
        <w:sz w:val="22"/>
        <w:szCs w:val="22"/>
        <w:u w:val="none" w:color="000000"/>
        <w:vertAlign w:val="baseline"/>
      </w:rPr>
    </w:lvl>
    <w:lvl w:ilvl="2">
      <w:start w:val="1"/>
      <w:numFmt w:val="lowerRoman"/>
      <w:lvlText w:val="%3"/>
      <w:lvlJc w:val="start"/>
      <w:pPr>
        <w:tabs>
          <w:tab w:val="num" w:pos="0"/>
        </w:tabs>
        <w:ind w:start="1928" w:hanging="0"/>
      </w:pPr>
      <w:rPr>
        <w:rFonts w:eastAsia="Liberation Serif" w:cs="Liberation Serif"/>
        <w:b w:val="false"/>
        <w:i w:val="false"/>
        <w:strike w:val="false"/>
        <w:dstrike w:val="false"/>
        <w:color w:val="000000"/>
        <w:position w:val="0"/>
        <w:sz w:val="22"/>
        <w:szCs w:val="22"/>
        <w:u w:val="none" w:color="000000"/>
        <w:vertAlign w:val="baseline"/>
      </w:rPr>
    </w:lvl>
    <w:lvl w:ilvl="3">
      <w:start w:val="1"/>
      <w:numFmt w:val="decimal"/>
      <w:lvlText w:val="%4"/>
      <w:lvlJc w:val="start"/>
      <w:pPr>
        <w:tabs>
          <w:tab w:val="num" w:pos="0"/>
        </w:tabs>
        <w:ind w:start="2648" w:hanging="0"/>
      </w:pPr>
      <w:rPr>
        <w:rFonts w:eastAsia="Liberation Serif" w:cs="Liberation Serif"/>
        <w:b w:val="false"/>
        <w:i w:val="false"/>
        <w:strike w:val="false"/>
        <w:dstrike w:val="false"/>
        <w:color w:val="000000"/>
        <w:position w:val="0"/>
        <w:sz w:val="22"/>
        <w:szCs w:val="22"/>
        <w:u w:val="none" w:color="000000"/>
        <w:vertAlign w:val="baseline"/>
      </w:rPr>
    </w:lvl>
    <w:lvl w:ilvl="4">
      <w:start w:val="1"/>
      <w:numFmt w:val="lowerLetter"/>
      <w:lvlText w:val="%5"/>
      <w:lvlJc w:val="start"/>
      <w:pPr>
        <w:tabs>
          <w:tab w:val="num" w:pos="0"/>
        </w:tabs>
        <w:ind w:start="3368" w:hanging="0"/>
      </w:pPr>
      <w:rPr>
        <w:rFonts w:eastAsia="Liberation Serif" w:cs="Liberation Serif"/>
        <w:b w:val="false"/>
        <w:i w:val="false"/>
        <w:strike w:val="false"/>
        <w:dstrike w:val="false"/>
        <w:color w:val="000000"/>
        <w:position w:val="0"/>
        <w:sz w:val="22"/>
        <w:szCs w:val="22"/>
        <w:u w:val="none" w:color="000000"/>
        <w:vertAlign w:val="baseline"/>
      </w:rPr>
    </w:lvl>
    <w:lvl w:ilvl="5">
      <w:start w:val="1"/>
      <w:numFmt w:val="lowerRoman"/>
      <w:lvlText w:val="%6"/>
      <w:lvlJc w:val="start"/>
      <w:pPr>
        <w:tabs>
          <w:tab w:val="num" w:pos="0"/>
        </w:tabs>
        <w:ind w:start="4088" w:hanging="0"/>
      </w:pPr>
      <w:rPr>
        <w:rFonts w:eastAsia="Liberation Serif" w:cs="Liberation Serif"/>
        <w:b w:val="false"/>
        <w:i w:val="false"/>
        <w:strike w:val="false"/>
        <w:dstrike w:val="false"/>
        <w:color w:val="000000"/>
        <w:position w:val="0"/>
        <w:sz w:val="22"/>
        <w:szCs w:val="22"/>
        <w:u w:val="none" w:color="000000"/>
        <w:vertAlign w:val="baseline"/>
      </w:rPr>
    </w:lvl>
    <w:lvl w:ilvl="6">
      <w:start w:val="1"/>
      <w:numFmt w:val="decimal"/>
      <w:lvlText w:val="%7"/>
      <w:lvlJc w:val="start"/>
      <w:pPr>
        <w:tabs>
          <w:tab w:val="num" w:pos="0"/>
        </w:tabs>
        <w:ind w:start="4808" w:hanging="0"/>
      </w:pPr>
      <w:rPr>
        <w:rFonts w:eastAsia="Liberation Serif" w:cs="Liberation Serif"/>
        <w:b w:val="false"/>
        <w:i w:val="false"/>
        <w:strike w:val="false"/>
        <w:dstrike w:val="false"/>
        <w:color w:val="000000"/>
        <w:position w:val="0"/>
        <w:sz w:val="22"/>
        <w:szCs w:val="22"/>
        <w:u w:val="none" w:color="000000"/>
        <w:vertAlign w:val="baseline"/>
      </w:rPr>
    </w:lvl>
    <w:lvl w:ilvl="7">
      <w:start w:val="1"/>
      <w:numFmt w:val="lowerLetter"/>
      <w:lvlText w:val="%8"/>
      <w:lvlJc w:val="start"/>
      <w:pPr>
        <w:tabs>
          <w:tab w:val="num" w:pos="0"/>
        </w:tabs>
        <w:ind w:start="5528" w:hanging="0"/>
      </w:pPr>
      <w:rPr>
        <w:rFonts w:eastAsia="Liberation Serif" w:cs="Liberation Serif"/>
        <w:b w:val="false"/>
        <w:i w:val="false"/>
        <w:strike w:val="false"/>
        <w:dstrike w:val="false"/>
        <w:color w:val="000000"/>
        <w:position w:val="0"/>
        <w:sz w:val="22"/>
        <w:szCs w:val="22"/>
        <w:u w:val="none" w:color="000000"/>
        <w:vertAlign w:val="baseline"/>
      </w:rPr>
    </w:lvl>
    <w:lvl w:ilvl="8">
      <w:start w:val="1"/>
      <w:numFmt w:val="lowerRoman"/>
      <w:lvlText w:val="%9"/>
      <w:lvlJc w:val="start"/>
      <w:pPr>
        <w:tabs>
          <w:tab w:val="num" w:pos="0"/>
        </w:tabs>
        <w:ind w:start="6248" w:hanging="0"/>
      </w:pPr>
      <w:rPr>
        <w:rFonts w:eastAsia="Liberation Serif" w:cs="Liberation Serif"/>
        <w:b w:val="false"/>
        <w:i w:val="false"/>
        <w:strike w:val="false"/>
        <w:dstrike w:val="false"/>
        <w:color w:val="000000"/>
        <w:position w:val="0"/>
        <w:sz w:val="22"/>
        <w:szCs w:val="22"/>
        <w:u w:val="none" w:color="000000"/>
        <w:vertAlign w:val="baseline"/>
      </w:rPr>
    </w:lvl>
  </w:abstractNum>
  <w:abstractNum w:abstractNumId="3">
    <w:lvl w:ilvl="0">
      <w:start w:val="1"/>
      <w:numFmt w:val="bullet"/>
      <w:lvlText w:val="•"/>
      <w:lvlJc w:val="start"/>
      <w:pPr>
        <w:tabs>
          <w:tab w:val="num" w:pos="0"/>
        </w:tabs>
        <w:ind w:start="375" w:hanging="0"/>
      </w:pPr>
      <w:rPr>
        <w:rFonts w:ascii="Liberation Serif" w:hAnsi="Liberation Serif" w:cs="Liberation Serif" w:hint="default"/>
        <w:b w:val="false"/>
        <w:i w:val="false"/>
        <w:strike w:val="false"/>
        <w:dstrike w:val="false"/>
        <w:color w:val="000000"/>
        <w:position w:val="0"/>
        <w:sz w:val="22"/>
        <w:szCs w:val="22"/>
        <w:u w:val="none" w:color="000000"/>
        <w:vertAlign w:val="baseline"/>
      </w:rPr>
    </w:lvl>
    <w:lvl w:ilvl="1">
      <w:start w:val="1"/>
      <w:numFmt w:val="bullet"/>
      <w:lvlText w:val="o"/>
      <w:lvlJc w:val="start"/>
      <w:pPr>
        <w:tabs>
          <w:tab w:val="num" w:pos="0"/>
        </w:tabs>
        <w:ind w:start="1323" w:hanging="0"/>
      </w:pPr>
      <w:rPr>
        <w:rFonts w:ascii="Liberation Serif" w:hAnsi="Liberation Serif" w:cs="Liberation Serif" w:hint="default"/>
        <w:b w:val="false"/>
        <w:i w:val="false"/>
        <w:strike w:val="false"/>
        <w:dstrike w:val="false"/>
        <w:color w:val="000000"/>
        <w:position w:val="0"/>
        <w:sz w:val="22"/>
        <w:szCs w:val="22"/>
        <w:u w:val="none" w:color="000000"/>
        <w:vertAlign w:val="baseline"/>
      </w:rPr>
    </w:lvl>
    <w:lvl w:ilvl="2">
      <w:start w:val="1"/>
      <w:numFmt w:val="bullet"/>
      <w:lvlText w:val="▪"/>
      <w:lvlJc w:val="start"/>
      <w:pPr>
        <w:tabs>
          <w:tab w:val="num" w:pos="0"/>
        </w:tabs>
        <w:ind w:start="2043" w:hanging="0"/>
      </w:pPr>
      <w:rPr>
        <w:rFonts w:ascii="Liberation Serif" w:hAnsi="Liberation Serif" w:cs="Liberation Serif" w:hint="default"/>
        <w:b w:val="false"/>
        <w:i w:val="false"/>
        <w:strike w:val="false"/>
        <w:dstrike w:val="false"/>
        <w:color w:val="000000"/>
        <w:position w:val="0"/>
        <w:sz w:val="22"/>
        <w:szCs w:val="22"/>
        <w:u w:val="none" w:color="000000"/>
        <w:vertAlign w:val="baseline"/>
      </w:rPr>
    </w:lvl>
    <w:lvl w:ilvl="3">
      <w:start w:val="1"/>
      <w:numFmt w:val="bullet"/>
      <w:lvlText w:val="•"/>
      <w:lvlJc w:val="start"/>
      <w:pPr>
        <w:tabs>
          <w:tab w:val="num" w:pos="0"/>
        </w:tabs>
        <w:ind w:start="2763" w:hanging="0"/>
      </w:pPr>
      <w:rPr>
        <w:rFonts w:ascii="Liberation Serif" w:hAnsi="Liberation Serif" w:cs="Liberation Serif" w:hint="default"/>
        <w:b w:val="false"/>
        <w:i w:val="false"/>
        <w:strike w:val="false"/>
        <w:dstrike w:val="false"/>
        <w:color w:val="000000"/>
        <w:position w:val="0"/>
        <w:sz w:val="22"/>
        <w:szCs w:val="22"/>
        <w:u w:val="none" w:color="000000"/>
        <w:vertAlign w:val="baseline"/>
      </w:rPr>
    </w:lvl>
    <w:lvl w:ilvl="4">
      <w:start w:val="1"/>
      <w:numFmt w:val="bullet"/>
      <w:lvlText w:val="o"/>
      <w:lvlJc w:val="start"/>
      <w:pPr>
        <w:tabs>
          <w:tab w:val="num" w:pos="0"/>
        </w:tabs>
        <w:ind w:start="3483" w:hanging="0"/>
      </w:pPr>
      <w:rPr>
        <w:rFonts w:ascii="Liberation Serif" w:hAnsi="Liberation Serif" w:cs="Liberation Serif" w:hint="default"/>
        <w:b w:val="false"/>
        <w:i w:val="false"/>
        <w:strike w:val="false"/>
        <w:dstrike w:val="false"/>
        <w:color w:val="000000"/>
        <w:position w:val="0"/>
        <w:sz w:val="22"/>
        <w:szCs w:val="22"/>
        <w:u w:val="none" w:color="000000"/>
        <w:vertAlign w:val="baseline"/>
      </w:rPr>
    </w:lvl>
    <w:lvl w:ilvl="5">
      <w:start w:val="1"/>
      <w:numFmt w:val="bullet"/>
      <w:lvlText w:val="▪"/>
      <w:lvlJc w:val="start"/>
      <w:pPr>
        <w:tabs>
          <w:tab w:val="num" w:pos="0"/>
        </w:tabs>
        <w:ind w:start="4203" w:hanging="0"/>
      </w:pPr>
      <w:rPr>
        <w:rFonts w:ascii="Liberation Serif" w:hAnsi="Liberation Serif" w:cs="Liberation Serif" w:hint="default"/>
        <w:b w:val="false"/>
        <w:i w:val="false"/>
        <w:strike w:val="false"/>
        <w:dstrike w:val="false"/>
        <w:color w:val="000000"/>
        <w:position w:val="0"/>
        <w:sz w:val="22"/>
        <w:szCs w:val="22"/>
        <w:u w:val="none" w:color="000000"/>
        <w:vertAlign w:val="baseline"/>
      </w:rPr>
    </w:lvl>
    <w:lvl w:ilvl="6">
      <w:start w:val="1"/>
      <w:numFmt w:val="bullet"/>
      <w:lvlText w:val="•"/>
      <w:lvlJc w:val="start"/>
      <w:pPr>
        <w:tabs>
          <w:tab w:val="num" w:pos="0"/>
        </w:tabs>
        <w:ind w:start="4923" w:hanging="0"/>
      </w:pPr>
      <w:rPr>
        <w:rFonts w:ascii="Liberation Serif" w:hAnsi="Liberation Serif" w:cs="Liberation Serif" w:hint="default"/>
        <w:b w:val="false"/>
        <w:i w:val="false"/>
        <w:strike w:val="false"/>
        <w:dstrike w:val="false"/>
        <w:color w:val="000000"/>
        <w:position w:val="0"/>
        <w:sz w:val="22"/>
        <w:szCs w:val="22"/>
        <w:u w:val="none" w:color="000000"/>
        <w:vertAlign w:val="baseline"/>
      </w:rPr>
    </w:lvl>
    <w:lvl w:ilvl="7">
      <w:start w:val="1"/>
      <w:numFmt w:val="bullet"/>
      <w:lvlText w:val="o"/>
      <w:lvlJc w:val="start"/>
      <w:pPr>
        <w:tabs>
          <w:tab w:val="num" w:pos="0"/>
        </w:tabs>
        <w:ind w:start="5643" w:hanging="0"/>
      </w:pPr>
      <w:rPr>
        <w:rFonts w:ascii="Liberation Serif" w:hAnsi="Liberation Serif" w:cs="Liberation Serif" w:hint="default"/>
        <w:b w:val="false"/>
        <w:i w:val="false"/>
        <w:strike w:val="false"/>
        <w:dstrike w:val="false"/>
        <w:color w:val="000000"/>
        <w:position w:val="0"/>
        <w:sz w:val="22"/>
        <w:szCs w:val="22"/>
        <w:u w:val="none" w:color="000000"/>
        <w:vertAlign w:val="baseline"/>
      </w:rPr>
    </w:lvl>
    <w:lvl w:ilvl="8">
      <w:start w:val="1"/>
      <w:numFmt w:val="bullet"/>
      <w:lvlText w:val="▪"/>
      <w:lvlJc w:val="start"/>
      <w:pPr>
        <w:tabs>
          <w:tab w:val="num" w:pos="0"/>
        </w:tabs>
        <w:ind w:start="6363" w:hanging="0"/>
      </w:pPr>
      <w:rPr>
        <w:rFonts w:ascii="Liberation Serif" w:hAnsi="Liberation Serif" w:cs="Liberation Serif" w:hint="default"/>
        <w:b w:val="false"/>
        <w:i w:val="false"/>
        <w:strike w:val="false"/>
        <w:dstrike w:val="false"/>
        <w:color w:val="000000"/>
        <w:position w:val="0"/>
        <w:sz w:val="22"/>
        <w:szCs w:val="22"/>
        <w:u w:val="none" w:color="000000"/>
        <w:vertAlign w:val="baseline"/>
      </w:rPr>
    </w:lvl>
  </w:abstractNum>
  <w:abstractNum w:abstractNumId="4">
    <w:lvl w:ilvl="0">
      <w:start w:val="1"/>
      <w:numFmt w:val="upperRoman"/>
      <w:lvlText w:val="%1"/>
      <w:lvlJc w:val="start"/>
      <w:pPr>
        <w:tabs>
          <w:tab w:val="num" w:pos="0"/>
        </w:tabs>
        <w:ind w:start="0" w:hanging="0"/>
      </w:pPr>
      <w:rPr>
        <w:rFonts w:eastAsia="Liberation Serif" w:cs="Liberation Serif"/>
        <w:b/>
        <w:bCs/>
        <w:i w:val="false"/>
        <w:strike w:val="false"/>
        <w:dstrike w:val="false"/>
        <w:color w:val="000000"/>
        <w:position w:val="0"/>
        <w:sz w:val="28"/>
        <w:szCs w:val="28"/>
        <w:u w:val="none" w:color="000000"/>
        <w:vertAlign w:val="baseline"/>
      </w:rPr>
    </w:lvl>
    <w:lvl w:ilvl="1">
      <w:start w:val="1"/>
      <w:numFmt w:val="lowerLetter"/>
      <w:lvlText w:val="%2"/>
      <w:lvlJc w:val="start"/>
      <w:pPr>
        <w:tabs>
          <w:tab w:val="num" w:pos="0"/>
        </w:tabs>
        <w:ind w:start="3433" w:hanging="0"/>
      </w:pPr>
      <w:rPr>
        <w:rFonts w:eastAsia="Liberation Serif" w:cs="Liberation Serif"/>
        <w:b/>
        <w:bCs/>
        <w:i w:val="false"/>
        <w:strike w:val="false"/>
        <w:dstrike w:val="false"/>
        <w:color w:val="000000"/>
        <w:position w:val="0"/>
        <w:sz w:val="22"/>
        <w:szCs w:val="22"/>
        <w:u w:val="none" w:color="000000"/>
        <w:vertAlign w:val="baseline"/>
      </w:rPr>
    </w:lvl>
    <w:lvl w:ilvl="2">
      <w:start w:val="1"/>
      <w:numFmt w:val="lowerRoman"/>
      <w:lvlText w:val="%3"/>
      <w:lvlJc w:val="start"/>
      <w:pPr>
        <w:tabs>
          <w:tab w:val="num" w:pos="0"/>
        </w:tabs>
        <w:ind w:start="4153" w:hanging="0"/>
      </w:pPr>
      <w:rPr>
        <w:rFonts w:eastAsia="Liberation Serif" w:cs="Liberation Serif"/>
        <w:b/>
        <w:bCs/>
        <w:i w:val="false"/>
        <w:strike w:val="false"/>
        <w:dstrike w:val="false"/>
        <w:color w:val="000000"/>
        <w:position w:val="0"/>
        <w:sz w:val="22"/>
        <w:szCs w:val="22"/>
        <w:u w:val="none" w:color="000000"/>
        <w:vertAlign w:val="baseline"/>
      </w:rPr>
    </w:lvl>
    <w:lvl w:ilvl="3">
      <w:start w:val="1"/>
      <w:numFmt w:val="decimal"/>
      <w:lvlText w:val="%4"/>
      <w:lvlJc w:val="start"/>
      <w:pPr>
        <w:tabs>
          <w:tab w:val="num" w:pos="0"/>
        </w:tabs>
        <w:ind w:start="4873" w:hanging="0"/>
      </w:pPr>
      <w:rPr>
        <w:rFonts w:eastAsia="Liberation Serif" w:cs="Liberation Serif"/>
        <w:b/>
        <w:bCs/>
        <w:i w:val="false"/>
        <w:strike w:val="false"/>
        <w:dstrike w:val="false"/>
        <w:color w:val="000000"/>
        <w:position w:val="0"/>
        <w:sz w:val="22"/>
        <w:szCs w:val="22"/>
        <w:u w:val="none" w:color="000000"/>
        <w:vertAlign w:val="baseline"/>
      </w:rPr>
    </w:lvl>
    <w:lvl w:ilvl="4">
      <w:start w:val="1"/>
      <w:numFmt w:val="lowerLetter"/>
      <w:lvlText w:val="%5"/>
      <w:lvlJc w:val="start"/>
      <w:pPr>
        <w:tabs>
          <w:tab w:val="num" w:pos="0"/>
        </w:tabs>
        <w:ind w:start="5593" w:hanging="0"/>
      </w:pPr>
      <w:rPr>
        <w:rFonts w:eastAsia="Liberation Serif" w:cs="Liberation Serif"/>
        <w:b/>
        <w:bCs/>
        <w:i w:val="false"/>
        <w:strike w:val="false"/>
        <w:dstrike w:val="false"/>
        <w:color w:val="000000"/>
        <w:position w:val="0"/>
        <w:sz w:val="22"/>
        <w:szCs w:val="22"/>
        <w:u w:val="none" w:color="000000"/>
        <w:vertAlign w:val="baseline"/>
      </w:rPr>
    </w:lvl>
    <w:lvl w:ilvl="5">
      <w:start w:val="1"/>
      <w:numFmt w:val="lowerRoman"/>
      <w:lvlText w:val="%6"/>
      <w:lvlJc w:val="start"/>
      <w:pPr>
        <w:tabs>
          <w:tab w:val="num" w:pos="0"/>
        </w:tabs>
        <w:ind w:start="6313" w:hanging="0"/>
      </w:pPr>
      <w:rPr>
        <w:rFonts w:eastAsia="Liberation Serif" w:cs="Liberation Serif"/>
        <w:b/>
        <w:bCs/>
        <w:i w:val="false"/>
        <w:strike w:val="false"/>
        <w:dstrike w:val="false"/>
        <w:color w:val="000000"/>
        <w:position w:val="0"/>
        <w:sz w:val="22"/>
        <w:szCs w:val="22"/>
        <w:u w:val="none" w:color="000000"/>
        <w:vertAlign w:val="baseline"/>
      </w:rPr>
    </w:lvl>
    <w:lvl w:ilvl="6">
      <w:start w:val="1"/>
      <w:numFmt w:val="decimal"/>
      <w:lvlText w:val="%7"/>
      <w:lvlJc w:val="start"/>
      <w:pPr>
        <w:tabs>
          <w:tab w:val="num" w:pos="0"/>
        </w:tabs>
        <w:ind w:start="7033" w:hanging="0"/>
      </w:pPr>
      <w:rPr>
        <w:rFonts w:eastAsia="Liberation Serif" w:cs="Liberation Serif"/>
        <w:b/>
        <w:bCs/>
        <w:i w:val="false"/>
        <w:strike w:val="false"/>
        <w:dstrike w:val="false"/>
        <w:color w:val="000000"/>
        <w:position w:val="0"/>
        <w:sz w:val="22"/>
        <w:szCs w:val="22"/>
        <w:u w:val="none" w:color="000000"/>
        <w:vertAlign w:val="baseline"/>
      </w:rPr>
    </w:lvl>
    <w:lvl w:ilvl="7">
      <w:start w:val="1"/>
      <w:numFmt w:val="lowerLetter"/>
      <w:lvlText w:val="%8"/>
      <w:lvlJc w:val="start"/>
      <w:pPr>
        <w:tabs>
          <w:tab w:val="num" w:pos="0"/>
        </w:tabs>
        <w:ind w:start="7753" w:hanging="0"/>
      </w:pPr>
      <w:rPr>
        <w:rFonts w:eastAsia="Liberation Serif" w:cs="Liberation Serif"/>
        <w:b/>
        <w:bCs/>
        <w:i w:val="false"/>
        <w:strike w:val="false"/>
        <w:dstrike w:val="false"/>
        <w:color w:val="000000"/>
        <w:position w:val="0"/>
        <w:sz w:val="22"/>
        <w:szCs w:val="22"/>
        <w:u w:val="none" w:color="000000"/>
        <w:vertAlign w:val="baseline"/>
      </w:rPr>
    </w:lvl>
    <w:lvl w:ilvl="8">
      <w:start w:val="1"/>
      <w:numFmt w:val="lowerRoman"/>
      <w:lvlText w:val="%9"/>
      <w:lvlJc w:val="start"/>
      <w:pPr>
        <w:tabs>
          <w:tab w:val="num" w:pos="0"/>
        </w:tabs>
        <w:ind w:start="8473" w:hanging="0"/>
      </w:pPr>
      <w:rPr>
        <w:rFonts w:eastAsia="Liberation Serif" w:cs="Liberation Serif"/>
        <w:b/>
        <w:bCs/>
        <w:i w:val="false"/>
        <w:strike w:val="false"/>
        <w:dstrike w:val="false"/>
        <w:color w:val="000000"/>
        <w:position w:val="0"/>
        <w:sz w:val="22"/>
        <w:szCs w:val="22"/>
        <w:u w:val="none" w:color="000000"/>
        <w:vertAlign w:val="baseline"/>
      </w:rPr>
    </w:lvl>
  </w:abstractNum>
  <w:abstractNum w:abstractNumId="5">
    <w:lvl w:ilvl="0">
      <w:start w:val="1"/>
      <w:numFmt w:val="bullet"/>
      <w:lvlText w:val=""/>
      <w:lvlJc w:val="start"/>
      <w:pPr>
        <w:tabs>
          <w:tab w:val="num" w:pos="0"/>
        </w:tabs>
        <w:ind w:start="720" w:hanging="360"/>
      </w:pPr>
      <w:rPr>
        <w:rFonts w:ascii="Wingdings" w:hAnsi="Wingdings" w:cs="Wingdings" w:hint="default"/>
        <w:sz w:val="22"/>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bullet"/>
      <w:lvlText w:val=""/>
      <w:lvlJc w:val="start"/>
      <w:pPr>
        <w:tabs>
          <w:tab w:val="num" w:pos="0"/>
        </w:tabs>
        <w:ind w:start="364" w:hanging="220"/>
      </w:pPr>
      <w:rPr>
        <w:rFonts w:ascii="Wingdings" w:hAnsi="Wingdings" w:cs="Wingdings" w:hint="default"/>
      </w:rPr>
    </w:lvl>
    <w:lvl w:ilvl="1">
      <w:start w:val="1"/>
      <w:numFmt w:val="bullet"/>
      <w:lvlText w:val=""/>
      <w:lvlJc w:val="start"/>
      <w:pPr>
        <w:tabs>
          <w:tab w:val="num" w:pos="0"/>
        </w:tabs>
        <w:ind w:start="782" w:hanging="129"/>
      </w:pPr>
      <w:rPr>
        <w:rFonts w:ascii="Wingdings" w:hAnsi="Wingdings" w:cs="Wingdings" w:hint="default"/>
      </w:rPr>
    </w:lvl>
    <w:lvl w:ilvl="2">
      <w:start w:val="1"/>
      <w:numFmt w:val="bullet"/>
      <w:lvlText w:val=""/>
      <w:lvlJc w:val="start"/>
      <w:pPr>
        <w:tabs>
          <w:tab w:val="num" w:pos="0"/>
        </w:tabs>
        <w:ind w:start="1795" w:hanging="129"/>
      </w:pPr>
      <w:rPr>
        <w:rFonts w:ascii="Wingdings" w:hAnsi="Wingdings" w:cs="Wingdings" w:hint="default"/>
      </w:rPr>
    </w:lvl>
    <w:lvl w:ilvl="3">
      <w:start w:val="1"/>
      <w:numFmt w:val="bullet"/>
      <w:lvlText w:val=""/>
      <w:lvlJc w:val="start"/>
      <w:pPr>
        <w:tabs>
          <w:tab w:val="num" w:pos="0"/>
        </w:tabs>
        <w:ind w:start="2811" w:hanging="129"/>
      </w:pPr>
      <w:rPr>
        <w:rFonts w:ascii="Wingdings" w:hAnsi="Wingdings" w:cs="Wingdings" w:hint="default"/>
      </w:rPr>
    </w:lvl>
    <w:lvl w:ilvl="4">
      <w:start w:val="1"/>
      <w:numFmt w:val="bullet"/>
      <w:lvlText w:val=""/>
      <w:lvlJc w:val="start"/>
      <w:pPr>
        <w:tabs>
          <w:tab w:val="num" w:pos="0"/>
        </w:tabs>
        <w:ind w:start="3827" w:hanging="129"/>
      </w:pPr>
      <w:rPr>
        <w:rFonts w:ascii="Wingdings" w:hAnsi="Wingdings" w:cs="Wingdings" w:hint="default"/>
      </w:rPr>
    </w:lvl>
    <w:lvl w:ilvl="5">
      <w:start w:val="1"/>
      <w:numFmt w:val="bullet"/>
      <w:lvlText w:val=""/>
      <w:lvlJc w:val="start"/>
      <w:pPr>
        <w:tabs>
          <w:tab w:val="num" w:pos="0"/>
        </w:tabs>
        <w:ind w:start="4843" w:hanging="129"/>
      </w:pPr>
      <w:rPr>
        <w:rFonts w:ascii="Wingdings" w:hAnsi="Wingdings" w:cs="Wingdings" w:hint="default"/>
      </w:rPr>
    </w:lvl>
    <w:lvl w:ilvl="6">
      <w:start w:val="1"/>
      <w:numFmt w:val="bullet"/>
      <w:lvlText w:val=""/>
      <w:lvlJc w:val="start"/>
      <w:pPr>
        <w:tabs>
          <w:tab w:val="num" w:pos="0"/>
        </w:tabs>
        <w:ind w:start="5858" w:hanging="129"/>
      </w:pPr>
      <w:rPr>
        <w:rFonts w:ascii="Wingdings" w:hAnsi="Wingdings" w:cs="Wingdings" w:hint="default"/>
      </w:rPr>
    </w:lvl>
    <w:lvl w:ilvl="7">
      <w:start w:val="1"/>
      <w:numFmt w:val="bullet"/>
      <w:lvlText w:val=""/>
      <w:lvlJc w:val="start"/>
      <w:pPr>
        <w:tabs>
          <w:tab w:val="num" w:pos="0"/>
        </w:tabs>
        <w:ind w:start="6874" w:hanging="129"/>
      </w:pPr>
      <w:rPr>
        <w:rFonts w:ascii="Wingdings" w:hAnsi="Wingdings" w:cs="Wingdings" w:hint="default"/>
      </w:rPr>
    </w:lvl>
    <w:lvl w:ilvl="8">
      <w:start w:val="1"/>
      <w:numFmt w:val="bullet"/>
      <w:lvlText w:val=""/>
      <w:lvlJc w:val="start"/>
      <w:pPr>
        <w:tabs>
          <w:tab w:val="num" w:pos="0"/>
        </w:tabs>
        <w:ind w:start="7890" w:hanging="129"/>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kern w:val="2"/>
        <w:szCs w:val="24"/>
        <w:lang w:val="it-IT" w:eastAsia="it-IT"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90" w:before="0" w:after="91"/>
      <w:ind w:hanging="10" w:start="10" w:end="11"/>
      <w:jc w:val="both"/>
    </w:pPr>
    <w:rPr>
      <w:rFonts w:ascii="Liberation Serif" w:hAnsi="Liberation Serif" w:eastAsia="Liberation Serif" w:cs="Liberation Serif"/>
      <w:color w:val="000000"/>
      <w:kern w:val="2"/>
      <w:sz w:val="22"/>
      <w:szCs w:val="24"/>
      <w:lang w:val="it-IT" w:eastAsia="it-IT" w:bidi="ar-SA"/>
    </w:rPr>
  </w:style>
  <w:style w:type="paragraph" w:styleId="Heading1">
    <w:name w:val="heading 1"/>
    <w:basedOn w:val="Normal"/>
    <w:link w:val="Titolo1Carattere"/>
    <w:uiPriority w:val="9"/>
    <w:qFormat/>
    <w:pPr>
      <w:keepNext w:val="true"/>
      <w:keepLines/>
      <w:numPr>
        <w:ilvl w:val="0"/>
        <w:numId w:val="1"/>
      </w:numPr>
      <w:spacing w:lineRule="auto" w:line="259" w:before="0" w:after="127"/>
      <w:ind w:hanging="10" w:start="10" w:end="11"/>
      <w:jc w:val="center"/>
      <w:outlineLvl w:val="0"/>
    </w:pPr>
    <w:rPr>
      <w:b/>
      <w:sz w:val="28"/>
    </w:rPr>
  </w:style>
  <w:style w:type="paragraph" w:styleId="Heading2">
    <w:name w:val="heading 2"/>
    <w:basedOn w:val="Normal"/>
    <w:link w:val="Titolo2Carattere"/>
    <w:uiPriority w:val="9"/>
    <w:unhideWhenUsed/>
    <w:qFormat/>
    <w:pPr>
      <w:keepNext w:val="true"/>
      <w:keepLines/>
      <w:spacing w:lineRule="auto" w:line="259" w:before="0" w:after="139"/>
      <w:jc w:val="start"/>
      <w:outlineLvl w:val="1"/>
    </w:pPr>
    <w:rPr>
      <w:b/>
      <w:color w:val="002E5D"/>
    </w:rPr>
  </w:style>
  <w:style w:type="paragraph" w:styleId="Heading3">
    <w:name w:val="heading 3"/>
    <w:basedOn w:val="Normal"/>
    <w:link w:val="Titolo3Carattere"/>
    <w:uiPriority w:val="9"/>
    <w:unhideWhenUsed/>
    <w:qFormat/>
    <w:pPr>
      <w:keepNext w:val="true"/>
      <w:keepLines/>
      <w:spacing w:lineRule="auto" w:line="259" w:before="0" w:after="89"/>
      <w:jc w:val="center"/>
      <w:outlineLvl w:val="2"/>
    </w:pPr>
    <w:rPr>
      <w:b/>
    </w:rPr>
  </w:style>
  <w:style w:type="character" w:styleId="DefaultParagraphFont" w:default="1">
    <w:name w:val="Default Paragraph Font"/>
    <w:uiPriority w:val="1"/>
    <w:semiHidden/>
    <w:unhideWhenUsed/>
    <w:qFormat/>
    <w:rPr/>
  </w:style>
  <w:style w:type="character" w:styleId="Titolo2Carattere" w:customStyle="1">
    <w:name w:val="Titolo 2 Carattere"/>
    <w:qFormat/>
    <w:rPr>
      <w:rFonts w:ascii="Liberation Serif" w:hAnsi="Liberation Serif" w:eastAsia="Liberation Serif" w:cs="Liberation Serif"/>
      <w:b/>
      <w:color w:val="002E5D"/>
      <w:sz w:val="24"/>
    </w:rPr>
  </w:style>
  <w:style w:type="character" w:styleId="Titolo1Carattere" w:customStyle="1">
    <w:name w:val="Titolo 1 Carattere"/>
    <w:qFormat/>
    <w:rPr>
      <w:rFonts w:ascii="Liberation Serif" w:hAnsi="Liberation Serif" w:eastAsia="Liberation Serif" w:cs="Liberation Serif"/>
      <w:b/>
      <w:color w:val="000000"/>
      <w:sz w:val="28"/>
    </w:rPr>
  </w:style>
  <w:style w:type="character" w:styleId="Titolo3Carattere" w:customStyle="1">
    <w:name w:val="Titolo 3 Carattere"/>
    <w:qFormat/>
    <w:rPr>
      <w:rFonts w:ascii="Liberation Serif" w:hAnsi="Liberation Serif" w:eastAsia="Liberation Serif" w:cs="Liberation Serif"/>
      <w:b/>
      <w:color w:val="000000"/>
      <w:sz w:val="22"/>
    </w:rPr>
  </w:style>
  <w:style w:type="character" w:styleId="IntestazioneCarattere" w:customStyle="1">
    <w:name w:val="Intestazione Carattere"/>
    <w:basedOn w:val="DefaultParagraphFont"/>
    <w:uiPriority w:val="99"/>
    <w:qFormat/>
    <w:rsid w:val="00b83b8f"/>
    <w:rPr>
      <w:rFonts w:ascii="Liberation Serif" w:hAnsi="Liberation Serif" w:eastAsia="Liberation Serif" w:cs="Liberation Serif"/>
      <w:color w:val="000000"/>
      <w:sz w:val="22"/>
    </w:rPr>
  </w:style>
  <w:style w:type="character" w:styleId="Puntiuser" w:customStyle="1">
    <w:name w:val="Punti (user)"/>
    <w:qFormat/>
    <w:rPr>
      <w:rFonts w:ascii="OpenSymbol" w:hAnsi="OpenSymbol" w:eastAsia="OpenSymbol" w:cs="OpenSymbol"/>
    </w:rPr>
  </w:style>
  <w:style w:type="character" w:styleId="WWCharLFO7LVL2" w:customStyle="1">
    <w:name w:val="WW_CharLFO7LVL2"/>
    <w:qFormat/>
    <w:rPr>
      <w:rFonts w:ascii="Times New Roman" w:hAnsi="Times New Roman"/>
      <w:b/>
      <w:bCs/>
    </w:rPr>
  </w:style>
  <w:style w:type="character" w:styleId="WWCharLFO7LVL3" w:customStyle="1">
    <w:name w:val="WW_CharLFO7LVL3"/>
    <w:qFormat/>
    <w:rPr>
      <w:b/>
      <w:bCs/>
    </w:rPr>
  </w:style>
  <w:style w:type="character" w:styleId="WWCharLFO7LVL4" w:customStyle="1">
    <w:name w:val="WW_CharLFO7LVL4"/>
    <w:qFormat/>
    <w:rPr>
      <w:b/>
      <w:bCs/>
    </w:rPr>
  </w:style>
  <w:style w:type="character" w:styleId="WWCharLFO7LVL5" w:customStyle="1">
    <w:name w:val="WW_CharLFO7LVL5"/>
    <w:qFormat/>
    <w:rPr>
      <w:b/>
      <w:bCs/>
    </w:rPr>
  </w:style>
  <w:style w:type="character" w:styleId="WWCharLFO7LVL6" w:customStyle="1">
    <w:name w:val="WW_CharLFO7LVL6"/>
    <w:qFormat/>
    <w:rPr>
      <w:b/>
      <w:bCs/>
    </w:rPr>
  </w:style>
  <w:style w:type="character" w:styleId="WWCharLFO7LVL7" w:customStyle="1">
    <w:name w:val="WW_CharLFO7LVL7"/>
    <w:qFormat/>
    <w:rPr>
      <w:b/>
      <w:bCs/>
    </w:rPr>
  </w:style>
  <w:style w:type="character" w:styleId="WWCharLFO7LVL8" w:customStyle="1">
    <w:name w:val="WW_CharLFO7LVL8"/>
    <w:qFormat/>
    <w:rPr>
      <w:b/>
      <w:bCs/>
    </w:rPr>
  </w:style>
  <w:style w:type="character" w:styleId="WWCharLFO7LVL9" w:customStyle="1">
    <w:name w:val="WW_CharLFO7LVL9"/>
    <w:qFormat/>
    <w:rPr>
      <w:b/>
      <w:b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customStyle="1">
    <w:name w:val="Indice (user)"/>
    <w:basedOn w:val="Normal"/>
    <w:qFormat/>
    <w:pPr>
      <w:suppressLineNumbers/>
    </w:pPr>
    <w:rPr>
      <w:rFonts w:cs="Arial"/>
    </w:rPr>
  </w:style>
  <w:style w:type="paragraph" w:styleId="Title">
    <w:name w:val="Title"/>
    <w:basedOn w:val="Normal"/>
    <w:qFormat/>
    <w:pPr>
      <w:keepNext w:val="true"/>
      <w:spacing w:before="240" w:after="120"/>
    </w:pPr>
    <w:rPr>
      <w:rFonts w:ascii="Liberation Sans" w:hAnsi="Liberation Sans" w:eastAsia="Microsoft YaHei" w:cs="Arial"/>
      <w:sz w:val="28"/>
      <w:szCs w:val="28"/>
    </w:rPr>
  </w:style>
  <w:style w:type="paragraph" w:styleId="ListParagraph">
    <w:name w:val="List Paragraph"/>
    <w:basedOn w:val="Normal"/>
    <w:qFormat/>
    <w:pPr>
      <w:suppressAutoHyphens w:val="true"/>
      <w:ind w:hanging="360" w:start="863" w:end="0"/>
    </w:pPr>
    <w:rPr>
      <w:rFonts w:ascii="Times New Roman" w:hAnsi="Times New Roman" w:eastAsia="Times New Roman" w:cs="Times New Roman"/>
      <w:lang w:eastAsia="en-US"/>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b83b8f"/>
    <w:pPr>
      <w:tabs>
        <w:tab w:val="clear" w:pos="708"/>
        <w:tab w:val="center" w:pos="4819" w:leader="none"/>
        <w:tab w:val="right" w:pos="9638" w:leader="none"/>
      </w:tabs>
      <w:spacing w:lineRule="auto" w:line="240" w:before="0" w:after="0"/>
    </w:pPr>
    <w:rPr/>
  </w:style>
  <w:style w:type="paragraph" w:styleId="Footer">
    <w:name w:val="footer"/>
    <w:basedOn w:val="Normal"/>
    <w:pPr/>
    <w:rPr/>
  </w:style>
  <w:style w:type="paragraph" w:styleId="Default" w:customStyle="1">
    <w:name w:val="Default"/>
    <w:qFormat/>
    <w:pPr>
      <w:widowControl w:val="false"/>
      <w:suppressAutoHyphens w:val="true"/>
      <w:bidi w:val="0"/>
      <w:spacing w:before="0" w:after="0"/>
      <w:jc w:val="start"/>
    </w:pPr>
    <w:rPr>
      <w:rFonts w:ascii="Times New Roman" w:hAnsi="Times New Roman" w:eastAsia="Times New Roman" w:cs="Times New Roman"/>
      <w:color w:val="000000"/>
      <w:kern w:val="2"/>
      <w:sz w:val="22"/>
      <w:szCs w:val="24"/>
      <w:lang w:val="it-IT" w:eastAsia="it-IT" w:bidi="ar-SA"/>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Grid">
    <w:name w:val="TableGrid"/>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LibreOffice/25.8.5.2$Windows_X86_64 LibreOffice_project/9c8b85f387cc00a89945a79c9e6239f32e450ac2</Application>
  <AppVersion>15.0000</AppVersion>
  <DocSecurity>0</DocSecurity>
  <Pages>6</Pages>
  <Words>2364</Words>
  <Characters>14832</Characters>
  <CharactersWithSpaces>17222</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2026-08-19T17:31:00Z</dcterms:created>
  <dc:creator>giuseppe giuseppe</dc:creator>
  <dc:description/>
  <dc:language>it-IT</dc:language>
  <cp:lastModifiedBy/>
  <cp:lastPrinted>2026-08-18T13:11:00Z</cp:lastPrinted>
  <dcterms:modified xsi:type="dcterms:W3CDTF">2026-08-21T08:58:45Z</dcterms:modified>
  <cp:revision>3</cp:revision>
  <dc:subject/>
  <dc:title>Avviso Pubblico - Istituzione Albo Avvocati Comune di Trapani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